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highlight w:val="none"/>
          <w:u w:val="single"/>
          <w:lang w:val="en-GB"/>
          <w14:textFill>
            <w14:solidFill>
              <w14:schemeClr w14:val="tx1"/>
            </w14:solidFill>
          </w14:textFill>
        </w:rPr>
      </w:pPr>
      <w:r/>
      <w:bookmarkStart w:id="0" w:name="_Toc55204177"/>
      <w:r/>
      <w:bookmarkStart w:id="1" w:name="_Toc55204178"/>
      <w:r/>
      <w:bookmarkStart w:id="2" w:name="_Toc55204179"/>
      <w:r/>
      <w:bookmarkStart w:id="3" w:name="_Hlk69392822"/>
      <w:r/>
      <w:bookmarkStart w:id="4" w:name="_Toc55204181"/>
      <w:r/>
      <w:r/>
    </w:p>
    <w:p>
      <w:pPr>
        <w:jc w:val="right"/>
        <w:rPr>
          <w:rFonts w:hint="eastAsia" w:ascii="宋体" w:eastAsia="宋体"/>
          <w:color w:val="000000" w:themeColor="text1"/>
          <w:sz w:val="36"/>
          <w:highlight w:val="none"/>
          <w:lang w:eastAsia="zh-CN"/>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编号：</w:t>
      </w:r>
      <w:r>
        <w:rPr>
          <w:rFonts w:hint="eastAsia" w:ascii="宋体" w:hAnsi="宋体"/>
          <w:color w:val="000000" w:themeColor="text1"/>
          <w:sz w:val="36"/>
          <w:highlight w:val="none"/>
          <w:lang w:eastAsia="zh-CN"/>
          <w14:textFill>
            <w14:solidFill>
              <w14:schemeClr w14:val="tx1"/>
            </w14:solidFill>
          </w14:textFill>
        </w:rPr>
        <w:t xml:space="preserve">JSZC-321012-SHBZ-G2025-0017</w:t>
      </w:r>
      <w:r/>
    </w:p>
    <w:p>
      <w:pPr>
        <w:jc w:val="center"/>
        <w:rPr>
          <w:rFonts w:ascii="宋体"/>
          <w:color w:val="000000" w:themeColor="text1"/>
          <w:sz w:val="36"/>
          <w:highlight w:val="none"/>
          <w14:textFill>
            <w14:solidFill>
              <w14:schemeClr w14:val="tx1"/>
            </w14:solidFill>
          </w14:textFill>
        </w:rPr>
      </w:pPr>
      <w:r>
        <w:rPr>
          <w:rFonts w:ascii="宋体"/>
          <w:color w:val="000000" w:themeColor="text1"/>
          <w:sz w:val="36"/>
          <w:highlight w:val="none"/>
          <w14:textFill>
            <w14:solidFill>
              <w14:schemeClr w14:val="tx1"/>
            </w14:solidFill>
          </w14:textFill>
        </w:rPr>
      </w:r>
      <w:r/>
    </w:p>
    <w:p>
      <w:pPr>
        <w:jc w:val="center"/>
        <w:rPr>
          <w:rFonts w:ascii="宋体"/>
          <w:b/>
          <w:bCs/>
          <w:color w:val="000000" w:themeColor="text1"/>
          <w:sz w:val="36"/>
          <w:highlight w:val="none"/>
          <w14:textFill>
            <w14:solidFill>
              <w14:schemeClr w14:val="tx1"/>
            </w14:solidFill>
          </w14:textFill>
        </w:rPr>
      </w:pPr>
      <w:r>
        <w:rPr>
          <w:rFonts w:hint="eastAsia" w:ascii="宋体" w:hAnsi="宋体"/>
          <w:b/>
          <w:bCs/>
          <w:color w:val="000000" w:themeColor="text1"/>
          <w:sz w:val="36"/>
          <w:highlight w:val="none"/>
          <w14:textFill>
            <w14:solidFill>
              <w14:schemeClr w14:val="tx1"/>
            </w14:solidFill>
          </w14:textFill>
        </w:rPr>
        <w:t xml:space="preserve">扬州市江都区大桥镇镇区环卫一体化市场化项目</w:t>
      </w:r>
      <w:r/>
    </w:p>
    <w:p>
      <w:pPr>
        <w:jc w:val="center"/>
        <w:rPr>
          <w:rFonts w:ascii="宋体"/>
          <w:b/>
          <w:bCs/>
          <w:color w:val="000000" w:themeColor="text1"/>
          <w:sz w:val="36"/>
          <w:highlight w:val="none"/>
          <w14:textFill>
            <w14:solidFill>
              <w14:schemeClr w14:val="tx1"/>
            </w14:solidFill>
          </w14:textFill>
        </w:rPr>
      </w:pPr>
      <w:r>
        <w:rPr>
          <w:rFonts w:hint="eastAsia" w:ascii="宋体" w:hAnsi="宋体"/>
          <w:b/>
          <w:bCs/>
          <w:color w:val="000000" w:themeColor="text1"/>
          <w:sz w:val="36"/>
          <w:highlight w:val="none"/>
          <w14:textFill>
            <w14:solidFill>
              <w14:schemeClr w14:val="tx1"/>
            </w14:solidFill>
          </w14:textFill>
        </w:rPr>
        <w:t xml:space="preserve">公开招标文件</w:t>
      </w:r>
      <w:r/>
    </w:p>
    <w:p>
      <w:pPr>
        <w:jc w:val="center"/>
        <w:rPr>
          <w:rFonts w:ascii="宋体"/>
          <w:color w:val="000000" w:themeColor="text1"/>
          <w:sz w:val="36"/>
          <w:highlight w:val="none"/>
          <w14:textFill>
            <w14:solidFill>
              <w14:schemeClr w14:val="tx1"/>
            </w14:solidFill>
          </w14:textFill>
        </w:rPr>
      </w:pPr>
      <w:r>
        <w:rPr>
          <w:rFonts w:ascii="宋体"/>
          <w:color w:val="000000" w:themeColor="text1"/>
          <w:sz w:val="36"/>
          <w:highlight w:val="none"/>
          <w14:textFill>
            <w14:solidFill>
              <w14:schemeClr w14:val="tx1"/>
            </w14:solidFill>
          </w14:textFill>
        </w:rPr>
      </w:r>
      <w:r/>
    </w:p>
    <w:p>
      <w:pPr>
        <w:jc w:val="center"/>
        <w:rPr>
          <w:rFonts w:ascii="宋体"/>
          <w:color w:val="000000" w:themeColor="text1"/>
          <w:sz w:val="36"/>
          <w:highlight w:val="none"/>
          <w14:textFill>
            <w14:solidFill>
              <w14:schemeClr w14:val="tx1"/>
            </w14:solidFill>
          </w14:textFill>
        </w:rPr>
      </w:pPr>
      <w:r>
        <w:rPr>
          <w:rFonts w:ascii="宋体"/>
          <w:color w:val="000000" w:themeColor="text1"/>
          <w:sz w:val="36"/>
          <w:highlight w:val="none"/>
          <w14:textFill>
            <w14:solidFill>
              <w14:schemeClr w14:val="tx1"/>
            </w14:solidFill>
          </w14:textFill>
        </w:rPr>
      </w:r>
      <w:r/>
    </w:p>
    <w:p>
      <w:pPr>
        <w:jc w:val="center"/>
        <w:rPr>
          <w:rFonts w:ascii="宋体"/>
          <w:color w:val="000000" w:themeColor="text1"/>
          <w:sz w:val="36"/>
          <w:highlight w:val="none"/>
          <w14:textFill>
            <w14:solidFill>
              <w14:schemeClr w14:val="tx1"/>
            </w14:solidFill>
          </w14:textFill>
        </w:rPr>
      </w:pPr>
      <w:r>
        <w:rPr>
          <w:rFonts w:ascii="宋体"/>
          <w:color w:val="000000" w:themeColor="text1"/>
          <w:sz w:val="36"/>
          <w:highlight w:val="none"/>
          <w14:textFill>
            <w14:solidFill>
              <w14:schemeClr w14:val="tx1"/>
            </w14:solidFill>
          </w14:textFill>
        </w:rPr>
      </w:r>
      <w:r/>
    </w:p>
    <w:p>
      <w:pPr>
        <w:ind w:left="840"/>
        <w:jc w:val="left"/>
        <w:rPr>
          <w:b/>
          <w:bCs/>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1325245</wp:posOffset>
                </wp:positionH>
                <wp:positionV relativeFrom="paragraph">
                  <wp:posOffset>211455</wp:posOffset>
                </wp:positionV>
                <wp:extent cx="2555875" cy="2555875"/>
                <wp:effectExtent l="0" t="0" r="4445" b="4445"/>
                <wp:wrapTopAndBottom/>
                <wp:docPr id="5" name="图片 2" descr="苏合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苏合图标"/>
                        <pic:cNvPicPr>
                          <a:picLocks noChangeAspect="1"/>
                        </pic:cNvPicPr>
                        <pic:nvPr/>
                      </pic:nvPicPr>
                      <pic:blipFill>
                        <a:blip r:embed="rId16"/>
                        <a:stretch/>
                      </pic:blipFill>
                      <pic:spPr bwMode="auto">
                        <a:xfrm>
                          <a:off x="0" y="0"/>
                          <a:ext cx="2555875" cy="255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104.3pt;mso-position-horizontal:absolute;mso-position-vertical-relative:text;margin-top:16.6pt;mso-position-vertical:absolute;width:201.2pt;height:201.2pt;mso-wrap-distance-left:9.0pt;mso-wrap-distance-top:0.0pt;mso-wrap-distance-right:9.0pt;mso-wrap-distance-bottom:0.0pt;" stroked="f">
                <v:path textboxrect="0,0,0,0"/>
                <w10:wrap type="topAndBottom"/>
                <v:imagedata r:id="rId16" o:title=""/>
              </v:shape>
            </w:pict>
          </mc:Fallback>
        </mc:AlternateContent>
      </w:r>
      <w:r/>
    </w:p>
    <w:p>
      <w:pPr>
        <w:ind w:left="840"/>
        <w:jc w:val="left"/>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p>
      <w:pPr>
        <w:ind w:left="840"/>
        <w:jc w:val="left"/>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p>
      <w:pPr>
        <w:ind w:left="840"/>
        <w:jc w:val="left"/>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p>
      <w:pPr>
        <w:ind w:left="840"/>
        <w:jc w:val="left"/>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p>
      <w:pPr>
        <w:jc w:val="left"/>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采</w:t>
      </w:r>
      <w:r>
        <w:rPr>
          <w:b/>
          <w:bCs/>
          <w:color w:val="000000" w:themeColor="text1"/>
          <w:sz w:val="32"/>
          <w:szCs w:val="32"/>
          <w:highlight w:val="none"/>
          <w14:textFill>
            <w14:solidFill>
              <w14:schemeClr w14:val="tx1"/>
            </w14:solidFill>
          </w14:textFill>
        </w:rPr>
        <w:t xml:space="preserve">  </w:t>
      </w:r>
      <w:r>
        <w:rPr>
          <w:rFonts w:hint="eastAsia"/>
          <w:b/>
          <w:bCs/>
          <w:color w:val="000000" w:themeColor="text1"/>
          <w:sz w:val="32"/>
          <w:szCs w:val="32"/>
          <w:highlight w:val="none"/>
          <w14:textFill>
            <w14:solidFill>
              <w14:schemeClr w14:val="tx1"/>
            </w14:solidFill>
          </w14:textFill>
        </w:rPr>
        <w:t xml:space="preserve">购</w:t>
      </w:r>
      <w:r>
        <w:rPr>
          <w:b/>
          <w:bCs/>
          <w:color w:val="000000" w:themeColor="text1"/>
          <w:sz w:val="32"/>
          <w:szCs w:val="32"/>
          <w:highlight w:val="none"/>
          <w14:textFill>
            <w14:solidFill>
              <w14:schemeClr w14:val="tx1"/>
            </w14:solidFill>
          </w14:textFill>
        </w:rPr>
        <w:t xml:space="preserve">  </w:t>
      </w:r>
      <w:r>
        <w:rPr>
          <w:rFonts w:hint="eastAsia"/>
          <w:b/>
          <w:bCs/>
          <w:color w:val="000000" w:themeColor="text1"/>
          <w:sz w:val="32"/>
          <w:szCs w:val="32"/>
          <w:highlight w:val="none"/>
          <w14:textFill>
            <w14:solidFill>
              <w14:schemeClr w14:val="tx1"/>
            </w14:solidFill>
          </w14:textFill>
        </w:rPr>
        <w:t xml:space="preserve">人：扬州市江都区大桥镇人民政府</w:t>
      </w:r>
      <w:r/>
    </w:p>
    <w:p>
      <w:pPr>
        <w:jc w:val="left"/>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p>
      <w:pPr>
        <w:jc w:val="left"/>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采购代理机构</w:t>
      </w:r>
      <w:r>
        <w:rPr>
          <w:b/>
          <w:bCs/>
          <w:color w:val="000000" w:themeColor="text1"/>
          <w:sz w:val="32"/>
          <w:szCs w:val="32"/>
          <w:highlight w:val="none"/>
          <w14:textFill>
            <w14:solidFill>
              <w14:schemeClr w14:val="tx1"/>
            </w14:solidFill>
          </w14:textFill>
        </w:rPr>
        <w:t xml:space="preserve">(</w:t>
      </w:r>
      <w:r>
        <w:rPr>
          <w:rFonts w:hint="eastAsia"/>
          <w:b/>
          <w:bCs/>
          <w:color w:val="000000" w:themeColor="text1"/>
          <w:sz w:val="32"/>
          <w:szCs w:val="32"/>
          <w:highlight w:val="none"/>
          <w14:textFill>
            <w14:solidFill>
              <w14:schemeClr w14:val="tx1"/>
            </w14:solidFill>
          </w14:textFill>
        </w:rPr>
        <w:t xml:space="preserve">章</w:t>
      </w:r>
      <w:r>
        <w:rPr>
          <w:b/>
          <w:bCs/>
          <w:color w:val="000000" w:themeColor="text1"/>
          <w:sz w:val="32"/>
          <w:szCs w:val="32"/>
          <w:highlight w:val="none"/>
          <w14:textFill>
            <w14:solidFill>
              <w14:schemeClr w14:val="tx1"/>
            </w14:solidFill>
          </w14:textFill>
        </w:rPr>
        <w:t xml:space="preserve">)</w:t>
      </w:r>
      <w:r>
        <w:rPr>
          <w:rFonts w:hint="eastAsia"/>
          <w:b/>
          <w:bCs/>
          <w:color w:val="000000" w:themeColor="text1"/>
          <w:sz w:val="32"/>
          <w:szCs w:val="32"/>
          <w:highlight w:val="none"/>
          <w14:textFill>
            <w14:solidFill>
              <w14:schemeClr w14:val="tx1"/>
            </w14:solidFill>
          </w14:textFill>
        </w:rPr>
        <w:t xml:space="preserve">：苏合邦筑工程咨询集团股份有限公司</w:t>
      </w:r>
      <w:r/>
    </w:p>
    <w:p>
      <w:pPr>
        <w:ind w:left="840"/>
        <w:jc w:val="left"/>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p>
      <w:pPr>
        <w:ind w:left="840" w:firstLine="1606"/>
        <w:rPr>
          <w:color w:val="000000" w:themeColor="text1"/>
          <w:highlight w:val="none"/>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二〇二五年十一月</w:t>
      </w: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t xml:space="preserve">目</w:t>
      </w:r>
      <w:r>
        <w:rPr>
          <w:rFonts w:ascii="宋体" w:hAnsi="宋体"/>
          <w:color w:val="000000" w:themeColor="text1"/>
          <w:sz w:val="32"/>
          <w:highlight w:val="none"/>
          <w14:textFill>
            <w14:solidFill>
              <w14:schemeClr w14:val="tx1"/>
            </w14:solidFill>
          </w14:textFill>
        </w:rPr>
        <w:t xml:space="preserve"> </w:t>
      </w:r>
      <w:r>
        <w:rPr>
          <w:rFonts w:hint="eastAsia" w:ascii="宋体" w:hAnsi="宋体"/>
          <w:color w:val="000000" w:themeColor="text1"/>
          <w:sz w:val="32"/>
          <w:highlight w:val="none"/>
          <w14:textFill>
            <w14:solidFill>
              <w14:schemeClr w14:val="tx1"/>
            </w14:solidFill>
          </w14:textFill>
        </w:rPr>
        <w:t xml:space="preserve">录</w:t>
      </w:r>
      <w:r/>
    </w:p>
    <w:p>
      <w:pPr>
        <w:pStyle w:val="831"/>
        <w:tabs>
          <w:tab w:val="right" w:pos="9536" w:leader="dot"/>
        </w:tabs>
        <w:rPr>
          <w:color w:val="000000" w:themeColor="text1"/>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fldChar w:fldCharType="begin"/>
      </w:r>
      <w:r>
        <w:rPr>
          <w:rFonts w:ascii="宋体" w:hAnsi="宋体"/>
          <w:color w:val="000000" w:themeColor="text1"/>
          <w:sz w:val="28"/>
          <w:highlight w:val="none"/>
          <w14:textFill>
            <w14:solidFill>
              <w14:schemeClr w14:val="tx1"/>
            </w14:solidFill>
          </w14:textFill>
        </w:rPr>
        <w:instrText xml:space="preserve"> TOC \o "1-3" \f </w:instrText>
      </w:r>
      <w:r>
        <w:rPr>
          <w:rFonts w:ascii="宋体" w:hAnsi="宋体"/>
          <w:color w:val="000000" w:themeColor="text1"/>
          <w:sz w:val="28"/>
          <w:highlight w:val="none"/>
          <w14:textFill>
            <w14:solidFill>
              <w14:schemeClr w14:val="tx1"/>
            </w14:solidFill>
          </w14:textFill>
        </w:rPr>
        <w:fldChar w:fldCharType="separate"/>
      </w:r>
      <w:r>
        <w:rPr>
          <w:rFonts w:hint="eastAsia" w:ascii="宋体" w:hAnsi="宋体"/>
          <w:color w:val="000000" w:themeColor="text1"/>
          <w:szCs w:val="36"/>
          <w:highlight w:val="none"/>
          <w14:textFill>
            <w14:solidFill>
              <w14:schemeClr w14:val="tx1"/>
            </w14:solidFill>
          </w14:textFill>
        </w:rPr>
        <w:t xml:space="preserve">第一章</w:t>
      </w:r>
      <w:r>
        <w:rPr>
          <w:rFonts w:ascii="宋体" w:hAnsi="宋体"/>
          <w:color w:val="000000" w:themeColor="text1"/>
          <w:szCs w:val="36"/>
          <w:highlight w:val="none"/>
          <w14:textFill>
            <w14:solidFill>
              <w14:schemeClr w14:val="tx1"/>
            </w14:solidFill>
          </w14:textFill>
        </w:rPr>
        <w:t xml:space="preserve"> </w:t>
      </w:r>
      <w:r>
        <w:rPr>
          <w:rFonts w:hint="eastAsia" w:ascii="宋体" w:hAnsi="宋体"/>
          <w:color w:val="000000" w:themeColor="text1"/>
          <w:szCs w:val="36"/>
          <w:highlight w:val="none"/>
          <w14:textFill>
            <w14:solidFill>
              <w14:schemeClr w14:val="tx1"/>
            </w14:solidFill>
          </w14:textFill>
        </w:rPr>
        <w:t xml:space="preserve">扬州市江都区大桥镇镇区环卫一体化市场化项目招标公告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_Toc12930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p>
    <w:p>
      <w:pPr>
        <w:pStyle w:val="831"/>
        <w:tabs>
          <w:tab w:val="right" w:pos="9536" w:leader="dot"/>
        </w:tabs>
        <w:rPr>
          <w:color w:val="000000" w:themeColor="text1"/>
          <w:highlight w:val="none"/>
          <w14:textFill>
            <w14:solidFill>
              <w14:schemeClr w14:val="tx1"/>
            </w14:solidFill>
          </w14:textFill>
        </w:rPr>
      </w:pPr>
      <w:r>
        <w:rPr>
          <w:rFonts w:hint="eastAsia" w:ascii="宋体" w:hAnsi="宋体"/>
          <w:color w:val="000000" w:themeColor="text1"/>
          <w:szCs w:val="36"/>
          <w:highlight w:val="none"/>
          <w14:textFill>
            <w14:solidFill>
              <w14:schemeClr w14:val="tx1"/>
            </w14:solidFill>
          </w14:textFill>
        </w:rPr>
        <w:t xml:space="preserve">第二章</w:t>
      </w:r>
      <w:r>
        <w:rPr>
          <w:rFonts w:ascii="宋体" w:hAnsi="宋体"/>
          <w:color w:val="000000" w:themeColor="text1"/>
          <w:szCs w:val="36"/>
          <w:highlight w:val="none"/>
          <w14:textFill>
            <w14:solidFill>
              <w14:schemeClr w14:val="tx1"/>
            </w14:solidFill>
          </w14:textFill>
        </w:rPr>
        <w:t xml:space="preserve"> </w:t>
      </w:r>
      <w:r>
        <w:rPr>
          <w:rFonts w:hint="eastAsia" w:ascii="宋体" w:hAnsi="宋体"/>
          <w:color w:val="000000" w:themeColor="text1"/>
          <w:szCs w:val="36"/>
          <w:highlight w:val="none"/>
          <w14:textFill>
            <w14:solidFill>
              <w14:schemeClr w14:val="tx1"/>
            </w14:solidFill>
          </w14:textFill>
        </w:rPr>
        <w:t xml:space="preserve">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_Toc11398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p>
    <w:p>
      <w:pPr>
        <w:pStyle w:val="831"/>
        <w:tabs>
          <w:tab w:val="right" w:pos="9536" w:leader="dot"/>
        </w:tabs>
        <w:rPr>
          <w:color w:val="000000"/>
          <w:highlight w:val="none"/>
        </w:rPr>
      </w:pPr>
      <w:r>
        <w:rPr>
          <w:rFonts w:hint="eastAsia" w:ascii="宋体" w:hAnsi="宋体"/>
          <w:color w:val="000000" w:themeColor="text1"/>
          <w:szCs w:val="36"/>
          <w:highlight w:val="none"/>
          <w14:textFill>
            <w14:solidFill>
              <w14:schemeClr w14:val="tx1"/>
            </w14:solidFill>
          </w14:textFill>
        </w:rPr>
        <w:t xml:space="preserve">第</w:t>
      </w:r>
      <w:r>
        <w:rPr>
          <w:rFonts w:hint="eastAsia" w:ascii="宋体" w:hAnsi="宋体"/>
          <w:color w:val="000000" w:themeColor="text1"/>
          <w:szCs w:val="36"/>
          <w:highlight w:val="none"/>
          <w14:textFill>
            <w14:solidFill>
              <w14:schemeClr w14:val="tx1"/>
            </w14:solidFill>
          </w14:textFill>
        </w:rPr>
        <w:t xml:space="preserve">三</w:t>
      </w:r>
      <w:r>
        <w:rPr>
          <w:rFonts w:hint="eastAsia" w:ascii="宋体" w:hAnsi="宋体"/>
          <w:color w:val="000000" w:themeColor="text1"/>
          <w:szCs w:val="36"/>
          <w:highlight w:val="none"/>
          <w14:textFill>
            <w14:solidFill>
              <w14:schemeClr w14:val="tx1"/>
            </w14:solidFill>
          </w14:textFill>
        </w:rPr>
        <w:t xml:space="preserve">章</w:t>
      </w:r>
      <w:r>
        <w:rPr>
          <w:rFonts w:ascii="宋体" w:hAnsi="宋体"/>
          <w:color w:val="000000" w:themeColor="text1"/>
          <w:szCs w:val="36"/>
          <w:highlight w:val="none"/>
          <w14:textFill>
            <w14:solidFill>
              <w14:schemeClr w14:val="tx1"/>
            </w14:solidFill>
          </w14:textFill>
        </w:rPr>
        <w:t xml:space="preserve"> </w:t>
      </w:r>
      <w:r>
        <w:rPr>
          <w:rFonts w:hint="eastAsia" w:ascii="宋体" w:hAnsi="宋体"/>
          <w:color w:val="000000" w:themeColor="text1"/>
          <w:szCs w:val="36"/>
          <w:highlight w:val="none"/>
          <w14:textFill>
            <w14:solidFill>
              <w14:schemeClr w14:val="tx1"/>
            </w14:solidFill>
          </w14:textFill>
        </w:rPr>
      </w:r>
      <w:r>
        <w:rPr>
          <w:rFonts w:hint="eastAsia" w:ascii="宋体" w:hAnsi="宋体"/>
          <w:color w:val="000000" w:themeColor="text1"/>
          <w:szCs w:val="36"/>
          <w:highlight w:val="none"/>
          <w14:textFill>
            <w14:solidFill>
              <w14:schemeClr w14:val="tx1"/>
            </w14:solidFill>
          </w14:textFill>
        </w:rPr>
        <w:t xml:space="preserve">合同条款及格式</w:t>
      </w:r>
      <w:r>
        <w:rPr>
          <w:rFonts w:hint="eastAsia" w:ascii="宋体" w:hAnsi="宋体"/>
          <w:color w:val="000000" w:themeColor="text1"/>
          <w:szCs w:val="36"/>
          <w:highlight w:val="none"/>
          <w14:textFill>
            <w14:solidFill>
              <w14:schemeClr w14:val="tx1"/>
            </w14:solidFill>
          </w14:textFill>
        </w:rPr>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_Toc11398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r>
      <w:r/>
      <w:r/>
      <w:r/>
      <w:r>
        <w:rPr>
          <w:color w:val="000000"/>
          <w:highlight w:val="none"/>
        </w:rPr>
      </w:r>
    </w:p>
    <w:p>
      <w:pPr>
        <w:pStyle w:val="831"/>
        <w:tabs>
          <w:tab w:val="right" w:pos="9536"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第四章</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项目需求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21</w:t>
      </w:r>
      <w:r/>
    </w:p>
    <w:p>
      <w:pPr>
        <w:pStyle w:val="831"/>
        <w:tabs>
          <w:tab w:val="right" w:pos="9536" w:leader="dot"/>
        </w:tabs>
        <w:rPr>
          <w:color w:val="000000" w:themeColor="text1"/>
          <w:highlight w:val="none"/>
          <w14:textFill>
            <w14:solidFill>
              <w14:schemeClr w14:val="tx1"/>
            </w14:solidFill>
          </w14:textFill>
        </w:rPr>
      </w:pPr>
      <w:r>
        <w:rPr>
          <w:rFonts w:hint="eastAsia" w:ascii="宋体" w:hAnsi="宋体"/>
          <w:color w:val="000000" w:themeColor="text1"/>
          <w:szCs w:val="36"/>
          <w:highlight w:val="none"/>
          <w14:textFill>
            <w14:solidFill>
              <w14:schemeClr w14:val="tx1"/>
            </w14:solidFill>
          </w14:textFill>
        </w:rPr>
        <w:t xml:space="preserve">第五章</w:t>
      </w:r>
      <w:r>
        <w:rPr>
          <w:rFonts w:ascii="宋体" w:hAnsi="宋体"/>
          <w:color w:val="000000" w:themeColor="text1"/>
          <w:szCs w:val="36"/>
          <w:highlight w:val="none"/>
          <w14:textFill>
            <w14:solidFill>
              <w14:schemeClr w14:val="tx1"/>
            </w14:solidFill>
          </w14:textFill>
        </w:rPr>
        <w:t xml:space="preserve"> </w:t>
      </w:r>
      <w:r>
        <w:rPr>
          <w:rFonts w:hint="eastAsia" w:ascii="宋体" w:hAnsi="宋体"/>
          <w:color w:val="000000" w:themeColor="text1"/>
          <w:szCs w:val="36"/>
          <w:highlight w:val="none"/>
          <w14:textFill>
            <w14:solidFill>
              <w14:schemeClr w14:val="tx1"/>
            </w14:solidFill>
          </w14:textFill>
        </w:rPr>
        <w:t xml:space="preserve">评标方法及评标标准</w:t>
      </w:r>
      <w:r>
        <w:rPr>
          <w:color w:val="000000" w:themeColor="text1"/>
          <w:highlight w:val="none"/>
          <w14:textFill>
            <w14:solidFill>
              <w14:schemeClr w14:val="tx1"/>
            </w14:solidFill>
          </w14:textFill>
        </w:rPr>
        <w:tab/>
        <w:t xml:space="preserve">5</w:t>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r>
      <w:r/>
    </w:p>
    <w:p>
      <w:pPr>
        <w:pStyle w:val="831"/>
        <w:tabs>
          <w:tab w:val="right" w:pos="9536"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投标文件格式</w:t>
      </w:r>
      <w:r>
        <w:rPr>
          <w:color w:val="000000" w:themeColor="text1"/>
          <w:highlight w:val="none"/>
          <w14:textFill>
            <w14:solidFill>
              <w14:schemeClr w14:val="tx1"/>
            </w14:solidFill>
          </w14:textFill>
        </w:rPr>
        <w:tab/>
        <w:t xml:space="preserve">6</w:t>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r>
      <w:r/>
    </w:p>
    <w:p>
      <w:pPr>
        <w:spacing w:line="360" w:lineRule="auto"/>
        <w:rPr>
          <w:rFonts w:asci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fldChar w:fldCharType="end"/>
      </w:r>
      <w:r/>
    </w:p>
    <w:p>
      <w:pPr>
        <w:pStyle w:val="1037"/>
        <w:jc w:val="center"/>
        <w:spacing w:line="240" w:lineRule="auto"/>
        <w:rPr>
          <w:rFonts w:hint="eastAsia" w:ascii="宋体" w:hAnsi="宋体"/>
          <w:color w:val="000000" w:themeColor="text1"/>
          <w:sz w:val="36"/>
          <w:szCs w:val="36"/>
          <w:highlight w:val="none"/>
          <w14:textFill>
            <w14:solidFill>
              <w14:schemeClr w14:val="tx1"/>
            </w14:solidFill>
          </w14:textFill>
        </w:rPr>
      </w:pPr>
      <w:r>
        <w:rPr>
          <w:rFonts w:ascii="宋体"/>
          <w:color w:val="000000" w:themeColor="text1"/>
          <w:sz w:val="28"/>
          <w:highlight w:val="none"/>
          <w14:textFill>
            <w14:solidFill>
              <w14:schemeClr w14:val="tx1"/>
            </w14:solidFill>
          </w14:textFill>
        </w:rPr>
        <w:br w:type="page" w:clear="all"/>
      </w:r>
      <w:bookmarkStart w:id="5" w:name="_Toc12930"/>
      <w:r>
        <w:rPr>
          <w:rFonts w:hint="eastAsia" w:ascii="宋体" w:hAnsi="宋体"/>
          <w:color w:val="000000" w:themeColor="text1"/>
          <w:sz w:val="36"/>
          <w:szCs w:val="36"/>
          <w:highlight w:val="none"/>
          <w14:textFill>
            <w14:solidFill>
              <w14:schemeClr w14:val="tx1"/>
            </w14:solidFill>
          </w14:textFill>
        </w:rPr>
        <w:t xml:space="preserve">第一章</w:t>
      </w:r>
      <w:r>
        <w:rPr>
          <w:rFonts w:ascii="宋体" w:hAnsi="宋体"/>
          <w:color w:val="000000" w:themeColor="text1"/>
          <w:sz w:val="36"/>
          <w:szCs w:val="36"/>
          <w:highlight w:val="none"/>
          <w14:textFill>
            <w14:solidFill>
              <w14:schemeClr w14:val="tx1"/>
            </w14:solidFill>
          </w14:textFill>
        </w:rPr>
        <w:t xml:space="preserve"> </w:t>
      </w:r>
      <w:r>
        <w:rPr>
          <w:rFonts w:hint="eastAsia" w:ascii="宋体" w:hAnsi="宋体"/>
          <w:color w:val="000000" w:themeColor="text1"/>
          <w:sz w:val="36"/>
          <w:szCs w:val="36"/>
          <w:highlight w:val="none"/>
          <w14:textFill>
            <w14:solidFill>
              <w14:schemeClr w14:val="tx1"/>
            </w14:solidFill>
          </w14:textFill>
        </w:rPr>
        <w:t xml:space="preserve">扬州市江都区大桥镇镇区环卫一体化市场化项目</w:t>
      </w:r>
      <w:r/>
    </w:p>
    <w:p>
      <w:pPr>
        <w:pStyle w:val="1037"/>
        <w:jc w:val="center"/>
        <w:spacing w:line="240" w:lineRule="auto"/>
        <w:rPr>
          <w:rFonts w:asci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 xml:space="preserve">招标公告</w:t>
      </w:r>
      <w:bookmarkEnd w:id="0"/>
      <w:r/>
      <w:bookmarkEnd w:id="5"/>
      <w:r/>
      <w:r/>
    </w:p>
    <w:p>
      <w:pPr>
        <w:ind w:firstLine="420"/>
        <w:spacing w:line="360" w:lineRule="auto"/>
        <w:rPr>
          <w:rFonts w:ascii="宋体" w:cs="宋体"/>
          <w:color w:val="000000" w:themeColor="text1"/>
          <w:szCs w:val="21"/>
          <w:highlight w:val="none"/>
          <w14:textFill>
            <w14:solidFill>
              <w14:schemeClr w14:val="tx1"/>
            </w14:solidFill>
          </w14:textFill>
        </w:rPr>
        <w:pBdr>
          <w:top w:val="single" w:color="000000" w:sz="4" w:space="0"/>
          <w:left w:val="single" w:color="000000" w:sz="4" w:space="3"/>
          <w:bottom w:val="single" w:color="000000" w:sz="4" w:space="0"/>
          <w:right w:val="single" w:color="000000" w:sz="4" w:space="3"/>
        </w:pBdr>
      </w:pP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spacing w:line="360" w:lineRule="auto"/>
        <w:rPr>
          <w:rFonts w:ascii="宋体" w:cs="宋体"/>
          <w:color w:val="000000" w:themeColor="text1"/>
          <w:highlight w:val="none"/>
          <w14:textFill>
            <w14:solidFill>
              <w14:schemeClr w14:val="tx1"/>
            </w14:solidFill>
          </w14:textFill>
        </w:rPr>
        <w:pBdr>
          <w:top w:val="single" w:color="000000" w:sz="4" w:space="0"/>
          <w:left w:val="single" w:color="000000" w:sz="4" w:space="3"/>
          <w:bottom w:val="single" w:color="000000" w:sz="4" w:space="0"/>
          <w:right w:val="single" w:color="000000" w:sz="4" w:space="3"/>
        </w:pBdr>
      </w:pPr>
      <w:r>
        <w:rPr>
          <w:rFonts w:hint="eastAsia" w:ascii="宋体" w:hAnsi="宋体" w:cs="宋体"/>
          <w:color w:val="000000" w:themeColor="text1"/>
          <w:szCs w:val="21"/>
          <w:highlight w:val="none"/>
          <w:u w:val="single"/>
          <w14:textFill>
            <w14:solidFill>
              <w14:schemeClr w14:val="tx1"/>
            </w14:solidFill>
          </w14:textFill>
        </w:rPr>
        <w:t xml:space="preserve">扬州市江都区大桥镇镇区环卫一体化市场化项目</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JSZC-321012-SHBZ-G2025-0017</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采购项目的潜在投标人应在</w:t>
      </w:r>
      <w:r>
        <w:rPr>
          <w:rFonts w:hint="eastAsia" w:ascii="宋体" w:hAnsi="宋体" w:cs="宋体"/>
          <w:color w:val="000000" w:themeColor="text1"/>
          <w:highlight w:val="none"/>
          <w:u w:val="single"/>
          <w14:textFill>
            <w14:solidFill>
              <w14:schemeClr w14:val="tx1"/>
            </w14:solidFill>
          </w14:textFill>
        </w:rPr>
        <w:t xml:space="preserve">“扬州市政府采购网”、“江苏省政府采购网”自行免费下载</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获取采购文件，并于</w:t>
      </w:r>
      <w:r>
        <w:rPr>
          <w:rFonts w:ascii="宋体" w:hAnsi="宋体" w:cs="宋体"/>
          <w:color w:val="000000" w:themeColor="text1"/>
          <w:szCs w:val="21"/>
          <w:highlight w:val="none"/>
          <w:u w:val="single"/>
          <w14:textFill>
            <w14:solidFill>
              <w14:schemeClr w14:val="tx1"/>
            </w14:solidFill>
          </w14:textFill>
        </w:rPr>
        <w:t xml:space="preserve">2025-</w:t>
      </w:r>
      <w:r>
        <w:rPr>
          <w:rFonts w:hint="eastAsia" w:ascii="宋体" w:hAnsi="宋体" w:cs="宋体"/>
          <w:color w:val="000000" w:themeColor="text1"/>
          <w:szCs w:val="21"/>
          <w:highlight w:val="none"/>
          <w:u w:val="single"/>
          <w:lang w:eastAsia="zh-CN"/>
          <w14:textFill>
            <w14:solidFill>
              <w14:schemeClr w14:val="tx1"/>
            </w14:solidFill>
          </w14:textFill>
        </w:rPr>
        <w:t xml:space="preserve">12-</w:t>
      </w:r>
      <w:r>
        <w:rPr>
          <w:rFonts w:hint="eastAsia" w:ascii="宋体" w:hAnsi="宋体" w:cs="宋体"/>
          <w:color w:val="ff0000"/>
          <w:szCs w:val="21"/>
          <w:highlight w:val="none"/>
          <w:u w:val="single"/>
          <w:lang w:eastAsia="zh-CN"/>
        </w:rPr>
        <w:t xml:space="preserve">10</w:t>
      </w:r>
      <w:r>
        <w:rPr>
          <w:rFonts w:ascii="宋体" w:hAnsi="宋体" w:cs="宋体"/>
          <w:color w:val="000000" w:themeColor="text1"/>
          <w:szCs w:val="21"/>
          <w:highlight w:val="none"/>
          <w:u w:val="single"/>
          <w14:textFill>
            <w14:solidFill>
              <w14:schemeClr w14:val="tx1"/>
            </w14:solidFill>
          </w14:textFill>
        </w:rPr>
        <w:t xml:space="preserve"> 09:30 </w:t>
      </w:r>
      <w:r>
        <w:rPr>
          <w:rFonts w:hint="eastAsia" w:ascii="宋体" w:hAnsi="宋体" w:cs="宋体"/>
          <w:color w:val="000000" w:themeColor="text1"/>
          <w:szCs w:val="21"/>
          <w:highlight w:val="none"/>
          <w:u w:val="single"/>
          <w14:textFill>
            <w14:solidFill>
              <w14:schemeClr w14:val="tx1"/>
            </w14:solidFill>
          </w14:textFill>
        </w:rPr>
        <w:t xml:space="preserve">（北京时间）</w:t>
      </w:r>
      <w:r>
        <w:rPr>
          <w:rFonts w:hint="eastAsia" w:ascii="宋体" w:hAnsi="宋体" w:cs="宋体"/>
          <w:color w:val="000000" w:themeColor="text1"/>
          <w:szCs w:val="21"/>
          <w:highlight w:val="none"/>
          <w14:textFill>
            <w14:solidFill>
              <w14:schemeClr w14:val="tx1"/>
            </w14:solidFill>
          </w14:textFill>
        </w:rPr>
        <w:t xml:space="preserve">前提交响应文件。</w:t>
      </w:r>
      <w:r/>
    </w:p>
    <w:p>
      <w:pPr>
        <w:pStyle w:val="848"/>
        <w:spacing w:before="260" w:after="260" w:line="360" w:lineRule="auto"/>
        <w:rPr>
          <w:rFonts w:ascii="黑体" w:hAnsi="黑体" w:eastAsia="黑体" w:cs="黑体"/>
          <w:b/>
          <w:bCs/>
          <w:color w:val="000000" w:themeColor="text1"/>
          <w:sz w:val="28"/>
          <w:szCs w:val="28"/>
          <w:highlight w:val="none"/>
          <w14:textFill>
            <w14:solidFill>
              <w14:schemeClr w14:val="tx1"/>
            </w14:solidFill>
          </w14:textFill>
        </w:rPr>
      </w:pPr>
      <w:r/>
      <w:bookmarkStart w:id="6" w:name="_Toc2065"/>
      <w:r/>
      <w:bookmarkStart w:id="7" w:name="_Toc7639"/>
      <w:r>
        <w:rPr>
          <w:rFonts w:hint="eastAsia" w:ascii="宋体" w:hAnsi="宋体" w:cs="宋体"/>
          <w:b/>
          <w:bCs/>
          <w:color w:val="000000" w:themeColor="text1"/>
          <w:sz w:val="21"/>
          <w:szCs w:val="21"/>
          <w:highlight w:val="none"/>
          <w14:textFill>
            <w14:solidFill>
              <w14:schemeClr w14:val="tx1"/>
            </w14:solidFill>
          </w14:textFill>
        </w:rPr>
        <w:t xml:space="preserve">一、项目基本情况</w:t>
      </w:r>
      <w:bookmarkEnd w:id="6"/>
      <w:r/>
      <w:bookmarkEnd w:id="7"/>
      <w:r/>
      <w:r/>
    </w:p>
    <w:p>
      <w:pPr>
        <w:ind w:firstLine="420"/>
        <w:spacing w:line="360" w:lineRule="auto"/>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项目编号：</w:t>
      </w:r>
      <w:r>
        <w:rPr>
          <w:rFonts w:hint="eastAsia" w:ascii="宋体" w:hAnsi="宋体" w:cs="宋体"/>
          <w:color w:val="000000" w:themeColor="text1"/>
          <w:sz w:val="22"/>
          <w:highlight w:val="none"/>
          <w:lang w:eastAsia="zh-CN"/>
          <w14:textFill>
            <w14:solidFill>
              <w14:schemeClr w14:val="tx1"/>
            </w14:solidFill>
          </w14:textFill>
        </w:rPr>
        <w:t xml:space="preserve">JSZC-321012-SHBZ-G2025-0017</w:t>
      </w:r>
      <w:r>
        <w:rPr>
          <w:rFonts w:ascii="宋体" w:hAnsi="宋体" w:cs="宋体"/>
          <w:color w:val="000000" w:themeColor="text1"/>
          <w:sz w:val="22"/>
          <w:highlight w:val="none"/>
          <w14:textFill>
            <w14:solidFill>
              <w14:schemeClr w14:val="tx1"/>
            </w14:solidFill>
          </w14:textFill>
        </w:rPr>
        <w:t xml:space="preserve"> </w:t>
      </w:r>
      <w:r/>
    </w:p>
    <w:p>
      <w:pPr>
        <w:ind w:firstLine="420"/>
        <w:spacing w:line="360" w:lineRule="auto"/>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2.</w:t>
      </w:r>
      <w:r>
        <w:rPr>
          <w:rFonts w:hint="eastAsia" w:ascii="宋体" w:hAnsi="宋体" w:cs="宋体"/>
          <w:color w:val="000000" w:themeColor="text1"/>
          <w:sz w:val="22"/>
          <w:highlight w:val="none"/>
          <w14:textFill>
            <w14:solidFill>
              <w14:schemeClr w14:val="tx1"/>
            </w14:solidFill>
          </w14:textFill>
        </w:rPr>
        <w:t xml:space="preserve">项目名称：扬州市江都区大桥镇镇区环卫一体化市场化项目</w:t>
      </w:r>
      <w:r>
        <w:rPr>
          <w:rFonts w:ascii="宋体" w:hAnsi="宋体" w:cs="宋体"/>
          <w:color w:val="000000" w:themeColor="text1"/>
          <w:sz w:val="22"/>
          <w:highlight w:val="none"/>
          <w14:textFill>
            <w14:solidFill>
              <w14:schemeClr w14:val="tx1"/>
            </w14:solidFill>
          </w14:textFill>
        </w:rPr>
        <w:t xml:space="preserve"> </w:t>
      </w:r>
      <w:r/>
    </w:p>
    <w:p>
      <w:pPr>
        <w:ind w:firstLine="420"/>
        <w:spacing w:line="360" w:lineRule="auto"/>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3.</w:t>
      </w:r>
      <w:r>
        <w:rPr>
          <w:rFonts w:hint="eastAsia" w:ascii="宋体" w:hAnsi="宋体" w:cs="宋体"/>
          <w:color w:val="000000" w:themeColor="text1"/>
          <w:sz w:val="22"/>
          <w:highlight w:val="none"/>
          <w14:textFill>
            <w14:solidFill>
              <w14:schemeClr w14:val="tx1"/>
            </w14:solidFill>
          </w14:textFill>
        </w:rPr>
        <w:t xml:space="preserve">采购方式：公开招标</w:t>
      </w:r>
      <w:r>
        <w:rPr>
          <w:rFonts w:ascii="宋体" w:hAnsi="宋体" w:cs="宋体"/>
          <w:color w:val="000000" w:themeColor="text1"/>
          <w:sz w:val="22"/>
          <w:highlight w:val="none"/>
          <w14:textFill>
            <w14:solidFill>
              <w14:schemeClr w14:val="tx1"/>
            </w14:solidFill>
          </w14:textFill>
        </w:rPr>
        <w:t xml:space="preserve"> </w:t>
      </w:r>
      <w:r/>
    </w:p>
    <w:p>
      <w:pPr>
        <w:ind w:firstLine="420"/>
        <w:spacing w:line="360" w:lineRule="auto"/>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4.</w:t>
      </w:r>
      <w:r>
        <w:rPr>
          <w:rFonts w:hint="eastAsia" w:ascii="宋体" w:hAnsi="宋体" w:cs="宋体"/>
          <w:color w:val="000000" w:themeColor="text1"/>
          <w:sz w:val="22"/>
          <w:highlight w:val="none"/>
          <w14:textFill>
            <w14:solidFill>
              <w14:schemeClr w14:val="tx1"/>
            </w14:solidFill>
          </w14:textFill>
        </w:rPr>
        <w:t xml:space="preserve">预算金额：</w:t>
      </w:r>
      <w:r>
        <w:rPr>
          <w:rFonts w:ascii="宋体" w:hAnsi="宋体" w:cs="宋体"/>
          <w:color w:val="000000" w:themeColor="text1"/>
          <w:sz w:val="22"/>
          <w:highlight w:val="none"/>
          <w14:textFill>
            <w14:solidFill>
              <w14:schemeClr w14:val="tx1"/>
            </w14:solidFill>
          </w14:textFill>
        </w:rPr>
        <w:t xml:space="preserve">1160</w:t>
      </w:r>
      <w:r>
        <w:rPr>
          <w:rFonts w:hint="eastAsia" w:ascii="宋体" w:hAnsi="宋体" w:cs="宋体"/>
          <w:color w:val="000000" w:themeColor="text1"/>
          <w:sz w:val="22"/>
          <w:highlight w:val="none"/>
          <w14:textFill>
            <w14:solidFill>
              <w14:schemeClr w14:val="tx1"/>
            </w14:solidFill>
          </w14:textFill>
        </w:rPr>
        <w:t xml:space="preserve">万元（包</w:t>
      </w:r>
      <w:r>
        <w:rPr>
          <w:rFonts w:ascii="宋体" w:hAnsi="宋体" w:cs="宋体"/>
          <w:color w:val="000000" w:themeColor="text1"/>
          <w:sz w:val="22"/>
          <w:highlight w:val="none"/>
          <w14:textFill>
            <w14:solidFill>
              <w14:schemeClr w14:val="tx1"/>
            </w14:solidFill>
          </w14:textFill>
        </w:rPr>
        <w:t xml:space="preserve">1:65</w:t>
      </w:r>
      <w:r>
        <w:rPr>
          <w:rFonts w:hint="eastAsia" w:ascii="宋体" w:hAnsi="宋体" w:cs="宋体"/>
          <w:color w:val="000000" w:themeColor="text1"/>
          <w:sz w:val="22"/>
          <w:highlight w:val="none"/>
          <w:lang w:val="en-US" w:eastAsia="zh-CN"/>
          <w14:textFill>
            <w14:solidFill>
              <w14:schemeClr w14:val="tx1"/>
            </w14:solidFill>
          </w14:textFill>
        </w:rPr>
        <w:t xml:space="preserve">8</w:t>
      </w:r>
      <w:r>
        <w:rPr>
          <w:rFonts w:hint="eastAsia" w:ascii="宋体" w:hAnsi="宋体" w:cs="宋体"/>
          <w:color w:val="000000" w:themeColor="text1"/>
          <w:sz w:val="22"/>
          <w:highlight w:val="none"/>
          <w14:textFill>
            <w14:solidFill>
              <w14:schemeClr w14:val="tx1"/>
            </w14:solidFill>
          </w14:textFill>
        </w:rPr>
        <w:t xml:space="preserve">万元；包</w:t>
      </w:r>
      <w:r>
        <w:rPr>
          <w:rFonts w:ascii="宋体" w:hAnsi="宋体" w:cs="宋体"/>
          <w:color w:val="000000" w:themeColor="text1"/>
          <w:sz w:val="22"/>
          <w:highlight w:val="none"/>
          <w14:textFill>
            <w14:solidFill>
              <w14:schemeClr w14:val="tx1"/>
            </w14:solidFill>
          </w14:textFill>
        </w:rPr>
        <w:t xml:space="preserve">2:5</w:t>
      </w:r>
      <w:r>
        <w:rPr>
          <w:rFonts w:hint="eastAsia" w:ascii="宋体" w:hAnsi="宋体" w:cs="宋体"/>
          <w:color w:val="000000" w:themeColor="text1"/>
          <w:sz w:val="22"/>
          <w:highlight w:val="none"/>
          <w:lang w:val="en-US" w:eastAsia="zh-CN"/>
          <w14:textFill>
            <w14:solidFill>
              <w14:schemeClr w14:val="tx1"/>
            </w14:solidFill>
          </w14:textFill>
        </w:rPr>
        <w:t xml:space="preserve">02</w:t>
      </w:r>
      <w:r>
        <w:rPr>
          <w:rFonts w:hint="eastAsia" w:ascii="宋体" w:hAnsi="宋体" w:cs="宋体"/>
          <w:color w:val="000000" w:themeColor="text1"/>
          <w:sz w:val="22"/>
          <w:highlight w:val="none"/>
          <w14:textFill>
            <w14:solidFill>
              <w14:schemeClr w14:val="tx1"/>
            </w14:solidFill>
          </w14:textFill>
        </w:rPr>
        <w:t xml:space="preserve">万元）</w:t>
      </w:r>
      <w:r>
        <w:rPr>
          <w:rFonts w:ascii="宋体" w:hAnsi="宋体" w:cs="宋体"/>
          <w:color w:val="000000" w:themeColor="text1"/>
          <w:sz w:val="22"/>
          <w:highlight w:val="none"/>
          <w14:textFill>
            <w14:solidFill>
              <w14:schemeClr w14:val="tx1"/>
            </w14:solidFill>
          </w14:textFill>
        </w:rPr>
        <w:t xml:space="preserve"> </w:t>
      </w:r>
      <w:r/>
    </w:p>
    <w:p>
      <w:pPr>
        <w:ind w:firstLine="420"/>
        <w:spacing w:line="360" w:lineRule="auto"/>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5.</w:t>
      </w:r>
      <w:r>
        <w:rPr>
          <w:rFonts w:hint="eastAsia" w:ascii="宋体" w:hAnsi="宋体" w:cs="宋体"/>
          <w:color w:val="000000" w:themeColor="text1"/>
          <w:sz w:val="22"/>
          <w:highlight w:val="none"/>
          <w14:textFill>
            <w14:solidFill>
              <w14:schemeClr w14:val="tx1"/>
            </w14:solidFill>
          </w14:textFill>
        </w:rPr>
        <w:t xml:space="preserve">最高限价（如有）：</w:t>
      </w:r>
      <w:r>
        <w:rPr>
          <w:rFonts w:ascii="宋体" w:hAnsi="宋体" w:cs="宋体"/>
          <w:color w:val="000000" w:themeColor="text1"/>
          <w:sz w:val="22"/>
          <w:highlight w:val="none"/>
          <w14:textFill>
            <w14:solidFill>
              <w14:schemeClr w14:val="tx1"/>
            </w14:solidFill>
          </w14:textFill>
        </w:rPr>
        <w:t xml:space="preserve">1160</w:t>
      </w:r>
      <w:r>
        <w:rPr>
          <w:rFonts w:hint="eastAsia" w:ascii="宋体" w:hAnsi="宋体" w:cs="宋体"/>
          <w:color w:val="000000" w:themeColor="text1"/>
          <w:sz w:val="22"/>
          <w:highlight w:val="none"/>
          <w14:textFill>
            <w14:solidFill>
              <w14:schemeClr w14:val="tx1"/>
            </w14:solidFill>
          </w14:textFill>
        </w:rPr>
        <w:t xml:space="preserve">万元（包</w:t>
      </w: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lang w:eastAsia="zh-CN"/>
          <w14:textFill>
            <w14:solidFill>
              <w14:schemeClr w14:val="tx1"/>
            </w14:solidFill>
          </w14:textFill>
        </w:rPr>
        <w:t xml:space="preserve">658</w:t>
      </w:r>
      <w:r>
        <w:rPr>
          <w:rFonts w:hint="eastAsia" w:ascii="宋体" w:hAnsi="宋体" w:cs="宋体"/>
          <w:color w:val="000000" w:themeColor="text1"/>
          <w:sz w:val="22"/>
          <w:highlight w:val="none"/>
          <w14:textFill>
            <w14:solidFill>
              <w14:schemeClr w14:val="tx1"/>
            </w14:solidFill>
          </w14:textFill>
        </w:rPr>
        <w:t xml:space="preserve">万元；包</w:t>
      </w:r>
      <w:r>
        <w:rPr>
          <w:rFonts w:ascii="宋体" w:hAnsi="宋体" w:cs="宋体"/>
          <w:color w:val="000000" w:themeColor="text1"/>
          <w:sz w:val="22"/>
          <w:highlight w:val="none"/>
          <w14:textFill>
            <w14:solidFill>
              <w14:schemeClr w14:val="tx1"/>
            </w14:solidFill>
          </w14:textFill>
        </w:rPr>
        <w:t xml:space="preserve">2:</w:t>
      </w:r>
      <w:r>
        <w:rPr>
          <w:rFonts w:hint="eastAsia" w:ascii="宋体" w:hAnsi="宋体" w:cs="宋体"/>
          <w:color w:val="000000" w:themeColor="text1"/>
          <w:sz w:val="22"/>
          <w:highlight w:val="none"/>
          <w:lang w:eastAsia="zh-CN"/>
          <w14:textFill>
            <w14:solidFill>
              <w14:schemeClr w14:val="tx1"/>
            </w14:solidFill>
          </w14:textFill>
        </w:rPr>
        <w:t xml:space="preserve">502</w:t>
      </w:r>
      <w:r>
        <w:rPr>
          <w:rFonts w:hint="eastAsia" w:ascii="宋体" w:hAnsi="宋体" w:cs="宋体"/>
          <w:color w:val="000000" w:themeColor="text1"/>
          <w:sz w:val="22"/>
          <w:highlight w:val="none"/>
          <w14:textFill>
            <w14:solidFill>
              <w14:schemeClr w14:val="tx1"/>
            </w14:solidFill>
          </w14:textFill>
        </w:rPr>
        <w:t xml:space="preserve">万元）</w:t>
      </w:r>
      <w:r>
        <w:rPr>
          <w:rFonts w:ascii="宋体" w:cs="宋体"/>
          <w:color w:val="000000" w:themeColor="text1"/>
          <w:sz w:val="22"/>
          <w:highlight w:val="none"/>
          <w:u w:val="single"/>
          <w14:textFill>
            <w14:solidFill>
              <w14:schemeClr w14:val="tx1"/>
            </w14:solidFill>
          </w14:textFill>
        </w:rPr>
        <w:t xml:space="preserve">,</w:t>
      </w:r>
      <w:r>
        <w:rPr>
          <w:rFonts w:hint="eastAsia" w:ascii="宋体" w:hAnsi="宋体" w:cs="宋体"/>
          <w:color w:val="000000" w:themeColor="text1"/>
          <w:sz w:val="22"/>
          <w:highlight w:val="none"/>
          <w:u w:val="single"/>
          <w14:textFill>
            <w14:solidFill>
              <w14:schemeClr w14:val="tx1"/>
            </w14:solidFill>
          </w14:textFill>
        </w:rPr>
        <w:t xml:space="preserve">报价高于最高限价的为无效标，按照无效响应处理。</w:t>
      </w:r>
      <w:r/>
    </w:p>
    <w:p>
      <w:pPr>
        <w:ind w:firstLine="420"/>
        <w:spacing w:line="360" w:lineRule="auto"/>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6.</w:t>
      </w:r>
      <w:r>
        <w:rPr>
          <w:rFonts w:hint="eastAsia" w:ascii="宋体" w:hAnsi="宋体" w:cs="宋体"/>
          <w:color w:val="000000" w:themeColor="text1"/>
          <w:sz w:val="22"/>
          <w:highlight w:val="none"/>
          <w14:textFill>
            <w14:solidFill>
              <w14:schemeClr w14:val="tx1"/>
            </w14:solidFill>
          </w14:textFill>
        </w:rPr>
        <w:t xml:space="preserve">采购需求：</w:t>
      </w:r>
      <w:r>
        <w:rPr>
          <w:rFonts w:hint="eastAsia" w:ascii="宋体" w:hAnsi="宋体" w:cs="宋体"/>
          <w:color w:val="000000" w:themeColor="text1"/>
          <w:sz w:val="22"/>
          <w:highlight w:val="none"/>
          <w:u w:val="single"/>
          <w14:textFill>
            <w14:solidFill>
              <w14:schemeClr w14:val="tx1"/>
            </w14:solidFill>
          </w14:textFill>
        </w:rPr>
        <w:t xml:space="preserve">详见招标文件第四章</w:t>
      </w:r>
      <w:r/>
    </w:p>
    <w:p>
      <w:pPr>
        <w:ind w:firstLine="420"/>
        <w:spacing w:line="360" w:lineRule="auto"/>
        <w:rPr>
          <w:rFonts w:ascii="宋体" w:cs="宋体"/>
          <w:color w:val="000000" w:themeColor="text1"/>
          <w:sz w:val="22"/>
          <w:highlight w:val="none"/>
          <w:u w:val="singl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7.</w:t>
      </w:r>
      <w:r>
        <w:rPr>
          <w:rFonts w:hint="eastAsia" w:ascii="宋体" w:hAnsi="宋体" w:cs="宋体"/>
          <w:color w:val="000000" w:themeColor="text1"/>
          <w:sz w:val="22"/>
          <w:highlight w:val="none"/>
          <w14:textFill>
            <w14:solidFill>
              <w14:schemeClr w14:val="tx1"/>
            </w14:solidFill>
          </w14:textFill>
        </w:rPr>
        <w:t xml:space="preserve">合同履行期限：</w:t>
      </w:r>
      <w:r>
        <w:rPr>
          <w:rFonts w:hint="eastAsia" w:ascii="宋体" w:hAnsi="宋体" w:cs="宋体"/>
          <w:color w:val="000000" w:themeColor="text1"/>
          <w:sz w:val="22"/>
          <w:highlight w:val="none"/>
          <w:u w:val="single"/>
          <w14:textFill>
            <w14:solidFill>
              <w14:schemeClr w14:val="tx1"/>
            </w14:solidFill>
          </w14:textFill>
        </w:rPr>
        <w:t xml:space="preserve">详见招标文件第四章。</w:t>
      </w:r>
      <w:r/>
    </w:p>
    <w:p>
      <w:pPr>
        <w:ind w:firstLine="420"/>
        <w:spacing w:line="360" w:lineRule="auto"/>
        <w:rPr>
          <w:rFonts w:ascii="仿宋" w:hAnsi="仿宋" w:eastAsia="仿宋" w:cs="仿宋"/>
          <w:color w:val="000000" w:themeColor="text1"/>
          <w:sz w:val="28"/>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8.</w:t>
      </w:r>
      <w:r>
        <w:rPr>
          <w:rFonts w:hint="eastAsia" w:ascii="宋体" w:hAnsi="宋体" w:cs="宋体"/>
          <w:color w:val="000000" w:themeColor="text1"/>
          <w:sz w:val="22"/>
          <w:highlight w:val="none"/>
          <w14:textFill>
            <w14:solidFill>
              <w14:schemeClr w14:val="tx1"/>
            </w14:solidFill>
          </w14:textFill>
        </w:rPr>
        <w:t xml:space="preserve">本项目（是</w:t>
      </w:r>
      <w:r>
        <w:rPr>
          <w:rFonts w:ascii="宋体" w:hAnsi="宋体" w:cs="宋体"/>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否）接受联合体：</w:t>
      </w:r>
      <w:r>
        <w:rPr>
          <w:rFonts w:hint="eastAsia" w:ascii="宋体" w:hAnsi="宋体" w:cs="宋体"/>
          <w:color w:val="000000" w:themeColor="text1"/>
          <w:sz w:val="22"/>
          <w:highlight w:val="none"/>
          <w:u w:val="single"/>
          <w14:textFill>
            <w14:solidFill>
              <w14:schemeClr w14:val="tx1"/>
            </w14:solidFill>
          </w14:textFill>
        </w:rPr>
        <w:t xml:space="preserve">不接受联合体</w:t>
      </w:r>
      <w:r>
        <w:rPr>
          <w:rFonts w:ascii="仿宋" w:hAnsi="仿宋" w:eastAsia="仿宋" w:cs="仿宋"/>
          <w:color w:val="000000" w:themeColor="text1"/>
          <w:sz w:val="28"/>
          <w:highlight w:val="none"/>
          <w14:textFill>
            <w14:solidFill>
              <w14:schemeClr w14:val="tx1"/>
            </w14:solidFill>
          </w14:textFill>
        </w:rPr>
        <w:t xml:space="preserve"> </w:t>
      </w:r>
      <w:r/>
    </w:p>
    <w:p>
      <w:pPr>
        <w:ind w:firstLine="420"/>
        <w:spacing w:line="360" w:lineRule="auto"/>
        <w:rPr>
          <w:rFonts w:hint="eastAsia" w:eastAsia="仿宋"/>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注：本项目分两个采购包，投标人可以多包兼投，但只能依顺序中一个采购包</w:t>
      </w:r>
      <w:r>
        <w:rPr>
          <w:rFonts w:hint="eastAsia" w:ascii="宋体" w:hAnsi="宋体" w:cs="宋体"/>
          <w:b/>
          <w:bCs/>
          <w:color w:val="000000" w:themeColor="text1"/>
          <w:sz w:val="22"/>
          <w:szCs w:val="22"/>
          <w:highlight w:val="none"/>
          <w:lang w:val="en-US" w:eastAsia="zh-CN" w:bidi="ar-SA"/>
          <w14:textFill>
            <w14:solidFill>
              <w14:schemeClr w14:val="tx1"/>
            </w14:solidFill>
          </w14:textFill>
        </w:rPr>
        <w:t xml:space="preserve">。</w:t>
      </w:r>
      <w:r/>
    </w:p>
    <w:p>
      <w:pPr>
        <w:pStyle w:val="848"/>
        <w:spacing w:before="260" w:after="260" w:line="360" w:lineRule="auto"/>
        <w:rPr>
          <w:color w:val="000000" w:themeColor="text1"/>
          <w:highlight w:val="none"/>
          <w14:textFill>
            <w14:solidFill>
              <w14:schemeClr w14:val="tx1"/>
            </w14:solidFill>
          </w14:textFill>
        </w:rPr>
      </w:pPr>
      <w:r/>
      <w:bookmarkStart w:id="8" w:name="_Toc17435"/>
      <w:r/>
      <w:bookmarkStart w:id="9" w:name="_Toc26717"/>
      <w:r>
        <w:rPr>
          <w:rFonts w:hint="eastAsia" w:ascii="宋体" w:hAnsi="宋体" w:cs="宋体"/>
          <w:b/>
          <w:bCs/>
          <w:color w:val="000000" w:themeColor="text1"/>
          <w:sz w:val="21"/>
          <w:szCs w:val="21"/>
          <w:highlight w:val="none"/>
          <w14:textFill>
            <w14:solidFill>
              <w14:schemeClr w14:val="tx1"/>
            </w14:solidFill>
          </w14:textFill>
        </w:rPr>
        <w:t xml:space="preserve">二、申请人的资格要求：</w:t>
      </w:r>
      <w:bookmarkEnd w:id="8"/>
      <w:r/>
      <w:bookmarkEnd w:id="9"/>
      <w:r/>
      <w:r/>
    </w:p>
    <w:p>
      <w:pPr>
        <w:ind w:firstLine="420"/>
        <w:spacing w:line="360" w:lineRule="auto"/>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满足《中华人民共和国政府采购法》第二十二条规定：</w:t>
      </w:r>
      <w:r/>
    </w:p>
    <w:p>
      <w:pPr>
        <w:ind w:firstLine="420"/>
        <w:spacing w:line="360" w:lineRule="auto"/>
        <w:rPr>
          <w:rFonts w:ascii="宋体" w:cs="宋体"/>
          <w:bCs/>
          <w:i/>
          <w:color w:val="000000" w:themeColor="text1"/>
          <w:sz w:val="22"/>
          <w:highlight w:val="none"/>
          <w:u w:val="single"/>
          <w14:textFill>
            <w14:solidFill>
              <w14:schemeClr w14:val="tx1"/>
            </w14:solidFill>
          </w14:textFill>
        </w:rPr>
      </w:pPr>
      <w:r>
        <w:rPr>
          <w:rFonts w:ascii="宋体" w:hAnsi="宋体" w:cs="宋体"/>
          <w:i/>
          <w:iCs/>
          <w:color w:val="000000" w:themeColor="text1"/>
          <w:sz w:val="22"/>
          <w:highlight w:val="none"/>
          <w:u w:val="single"/>
          <w14:textFill>
            <w14:solidFill>
              <w14:schemeClr w14:val="tx1"/>
            </w14:solidFill>
          </w14:textFill>
        </w:rPr>
        <w:t xml:space="preserve">1.1</w:t>
      </w:r>
      <w:r>
        <w:rPr>
          <w:rFonts w:hint="eastAsia" w:ascii="宋体" w:hAnsi="宋体" w:cs="宋体"/>
          <w:i/>
          <w:iCs/>
          <w:color w:val="000000" w:themeColor="text1"/>
          <w:sz w:val="22"/>
          <w:highlight w:val="none"/>
          <w:u w:val="single"/>
          <w14:textFill>
            <w14:solidFill>
              <w14:schemeClr w14:val="tx1"/>
            </w14:solidFill>
          </w14:textFill>
        </w:rPr>
        <w:t xml:space="preserve">法人或者其他组织的营业执照等证明文件，自然人的身份证明</w:t>
      </w:r>
      <w:r/>
    </w:p>
    <w:p>
      <w:pPr>
        <w:ind w:firstLine="420"/>
        <w:spacing w:line="360" w:lineRule="auto"/>
        <w:rPr>
          <w:rFonts w:ascii="宋体" w:cs="宋体"/>
          <w:bCs/>
          <w:i/>
          <w:color w:val="000000" w:themeColor="text1"/>
          <w:sz w:val="22"/>
          <w:highlight w:val="none"/>
          <w:u w:val="single"/>
          <w14:textFill>
            <w14:solidFill>
              <w14:schemeClr w14:val="tx1"/>
            </w14:solidFill>
          </w14:textFill>
        </w:rPr>
      </w:pPr>
      <w:r>
        <w:rPr>
          <w:rFonts w:ascii="宋体" w:hAnsi="宋体" w:cs="宋体"/>
          <w:i/>
          <w:iCs/>
          <w:color w:val="000000" w:themeColor="text1"/>
          <w:sz w:val="22"/>
          <w:highlight w:val="none"/>
          <w:u w:val="single"/>
          <w14:textFill>
            <w14:solidFill>
              <w14:schemeClr w14:val="tx1"/>
            </w14:solidFill>
          </w14:textFill>
        </w:rPr>
        <w:t xml:space="preserve">1.2</w:t>
      </w:r>
      <w:r>
        <w:rPr>
          <w:rFonts w:hint="eastAsia" w:ascii="宋体" w:hAnsi="宋体" w:cs="宋体"/>
          <w:i/>
          <w:iCs/>
          <w:color w:val="000000" w:themeColor="text1"/>
          <w:sz w:val="22"/>
          <w:highlight w:val="none"/>
          <w:u w:val="single"/>
          <w14:textFill>
            <w14:solidFill>
              <w14:schemeClr w14:val="tx1"/>
            </w14:solidFill>
          </w14:textFill>
        </w:rPr>
        <w:t xml:space="preserve">依法缴纳职工社会保障资金的证明材料</w:t>
      </w:r>
      <w:r>
        <w:rPr>
          <w:rFonts w:hint="eastAsia" w:ascii="宋体" w:hAnsi="宋体" w:cs="宋体"/>
          <w:b/>
          <w:bCs/>
          <w:i/>
          <w:iCs/>
          <w:color w:val="000000" w:themeColor="text1"/>
          <w:sz w:val="22"/>
          <w:highlight w:val="none"/>
          <w:u w:val="single"/>
          <w14:textFill>
            <w14:solidFill>
              <w14:schemeClr w14:val="tx1"/>
            </w14:solidFill>
          </w14:textFill>
        </w:rPr>
        <w:t xml:space="preserve">（可提供</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基本资格条件承诺函</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w:t>
      </w:r>
      <w:r/>
    </w:p>
    <w:p>
      <w:pPr>
        <w:ind w:firstLine="420"/>
        <w:spacing w:line="360" w:lineRule="auto"/>
        <w:rPr>
          <w:rFonts w:ascii="宋体" w:cs="宋体"/>
          <w:bCs/>
          <w:i/>
          <w:color w:val="000000" w:themeColor="text1"/>
          <w:sz w:val="22"/>
          <w:highlight w:val="none"/>
          <w:u w:val="single"/>
          <w14:textFill>
            <w14:solidFill>
              <w14:schemeClr w14:val="tx1"/>
            </w14:solidFill>
          </w14:textFill>
        </w:rPr>
      </w:pPr>
      <w:r>
        <w:rPr>
          <w:rFonts w:ascii="宋体" w:hAnsi="宋体" w:cs="宋体"/>
          <w:i/>
          <w:iCs/>
          <w:color w:val="000000" w:themeColor="text1"/>
          <w:sz w:val="22"/>
          <w:highlight w:val="none"/>
          <w:u w:val="single"/>
          <w14:textFill>
            <w14:solidFill>
              <w14:schemeClr w14:val="tx1"/>
            </w14:solidFill>
          </w14:textFill>
        </w:rPr>
        <w:t xml:space="preserve">1.3</w:t>
      </w:r>
      <w:r>
        <w:rPr>
          <w:rFonts w:hint="eastAsia" w:ascii="宋体" w:hAnsi="宋体" w:cs="宋体"/>
          <w:i/>
          <w:iCs/>
          <w:color w:val="000000" w:themeColor="text1"/>
          <w:sz w:val="22"/>
          <w:highlight w:val="none"/>
          <w:u w:val="single"/>
          <w14:textFill>
            <w14:solidFill>
              <w14:schemeClr w14:val="tx1"/>
            </w14:solidFill>
          </w14:textFill>
        </w:rPr>
        <w:t xml:space="preserve">供应商近三个月内任意一份依法纳税的缴款凭证</w:t>
      </w:r>
      <w:r>
        <w:rPr>
          <w:rFonts w:hint="eastAsia" w:ascii="宋体" w:hAnsi="宋体" w:cs="宋体"/>
          <w:b/>
          <w:bCs/>
          <w:i/>
          <w:iCs/>
          <w:color w:val="000000" w:themeColor="text1"/>
          <w:sz w:val="22"/>
          <w:highlight w:val="none"/>
          <w:u w:val="single"/>
          <w14:textFill>
            <w14:solidFill>
              <w14:schemeClr w14:val="tx1"/>
            </w14:solidFill>
          </w14:textFill>
        </w:rPr>
        <w:t xml:space="preserve">（可提供</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基本资格条件承诺函</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w:t>
      </w:r>
      <w:r/>
    </w:p>
    <w:p>
      <w:pPr>
        <w:ind w:firstLine="420"/>
        <w:spacing w:line="360" w:lineRule="auto"/>
        <w:rPr>
          <w:rFonts w:ascii="宋体" w:cs="宋体"/>
          <w:bCs/>
          <w:i/>
          <w:color w:val="000000" w:themeColor="text1"/>
          <w:sz w:val="22"/>
          <w:highlight w:val="none"/>
          <w:u w:val="single"/>
          <w14:textFill>
            <w14:solidFill>
              <w14:schemeClr w14:val="tx1"/>
            </w14:solidFill>
          </w14:textFill>
        </w:rPr>
      </w:pPr>
      <w:r>
        <w:rPr>
          <w:rFonts w:ascii="宋体" w:hAnsi="宋体" w:cs="宋体"/>
          <w:i/>
          <w:iCs/>
          <w:color w:val="000000" w:themeColor="text1"/>
          <w:sz w:val="22"/>
          <w:highlight w:val="none"/>
          <w:u w:val="single"/>
          <w14:textFill>
            <w14:solidFill>
              <w14:schemeClr w14:val="tx1"/>
            </w14:solidFill>
          </w14:textFill>
        </w:rPr>
        <w:t xml:space="preserve">1.4</w:t>
      </w:r>
      <w:r>
        <w:rPr>
          <w:rFonts w:hint="eastAsia" w:ascii="宋体" w:hAnsi="宋体" w:cs="宋体"/>
          <w:i/>
          <w:iCs/>
          <w:color w:val="000000" w:themeColor="text1"/>
          <w:sz w:val="22"/>
          <w:highlight w:val="none"/>
          <w:u w:val="single"/>
          <w14:textFill>
            <w14:solidFill>
              <w14:schemeClr w14:val="tx1"/>
            </w14:solidFill>
          </w14:textFill>
        </w:rPr>
        <w:t xml:space="preserve">上一年度的财务报告情况（成立不满一年不需提供）</w:t>
      </w:r>
      <w:r>
        <w:rPr>
          <w:rFonts w:hint="eastAsia" w:ascii="宋体" w:hAnsi="宋体" w:cs="宋体"/>
          <w:b/>
          <w:bCs/>
          <w:i/>
          <w:iCs/>
          <w:color w:val="000000" w:themeColor="text1"/>
          <w:sz w:val="22"/>
          <w:highlight w:val="none"/>
          <w:u w:val="single"/>
          <w14:textFill>
            <w14:solidFill>
              <w14:schemeClr w14:val="tx1"/>
            </w14:solidFill>
          </w14:textFill>
        </w:rPr>
        <w:t xml:space="preserve">（可提供</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基本资格条件承诺函</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w:t>
      </w:r>
      <w:r/>
    </w:p>
    <w:p>
      <w:pPr>
        <w:ind w:firstLine="420"/>
        <w:spacing w:line="360" w:lineRule="auto"/>
        <w:rPr>
          <w:rFonts w:ascii="宋体" w:cs="宋体"/>
          <w:bCs/>
          <w:i/>
          <w:color w:val="000000" w:themeColor="text1"/>
          <w:sz w:val="22"/>
          <w:highlight w:val="none"/>
          <w:u w:val="single"/>
          <w14:textFill>
            <w14:solidFill>
              <w14:schemeClr w14:val="tx1"/>
            </w14:solidFill>
          </w14:textFill>
        </w:rPr>
      </w:pPr>
      <w:r>
        <w:rPr>
          <w:rFonts w:ascii="宋体" w:hAnsi="宋体" w:cs="宋体"/>
          <w:i/>
          <w:iCs/>
          <w:color w:val="000000" w:themeColor="text1"/>
          <w:sz w:val="22"/>
          <w:highlight w:val="none"/>
          <w:u w:val="single"/>
          <w14:textFill>
            <w14:solidFill>
              <w14:schemeClr w14:val="tx1"/>
            </w14:solidFill>
          </w14:textFill>
        </w:rPr>
        <w:t xml:space="preserve">1.5</w:t>
      </w:r>
      <w:r>
        <w:rPr>
          <w:rFonts w:hint="eastAsia" w:ascii="宋体" w:hAnsi="宋体" w:cs="宋体"/>
          <w:i/>
          <w:iCs/>
          <w:color w:val="000000" w:themeColor="text1"/>
          <w:sz w:val="22"/>
          <w:highlight w:val="none"/>
          <w:u w:val="single"/>
          <w14:textFill>
            <w14:solidFill>
              <w14:schemeClr w14:val="tx1"/>
            </w14:solidFill>
          </w14:textFill>
        </w:rPr>
        <w:t xml:space="preserve">具备履行合同所必需的设备和专业技术能力的证明材料</w:t>
      </w:r>
      <w:r>
        <w:rPr>
          <w:rFonts w:hint="eastAsia" w:ascii="宋体" w:hAnsi="宋体" w:cs="宋体"/>
          <w:b/>
          <w:bCs/>
          <w:i/>
          <w:iCs/>
          <w:color w:val="000000" w:themeColor="text1"/>
          <w:sz w:val="22"/>
          <w:highlight w:val="none"/>
          <w:u w:val="single"/>
          <w14:textFill>
            <w14:solidFill>
              <w14:schemeClr w14:val="tx1"/>
            </w14:solidFill>
          </w14:textFill>
        </w:rPr>
        <w:t xml:space="preserve">（可提供</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基本资格条件承诺函</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w:t>
      </w:r>
      <w:r/>
    </w:p>
    <w:p>
      <w:pPr>
        <w:ind w:firstLine="420"/>
        <w:spacing w:line="360" w:lineRule="auto"/>
        <w:rPr>
          <w:rFonts w:ascii="宋体" w:cs="宋体"/>
          <w:bCs/>
          <w:i/>
          <w:color w:val="000000" w:themeColor="text1"/>
          <w:sz w:val="22"/>
          <w:highlight w:val="none"/>
          <w:u w:val="single"/>
          <w14:textFill>
            <w14:solidFill>
              <w14:schemeClr w14:val="tx1"/>
            </w14:solidFill>
          </w14:textFill>
        </w:rPr>
      </w:pPr>
      <w:r>
        <w:rPr>
          <w:rFonts w:ascii="宋体" w:hAnsi="宋体" w:cs="宋体"/>
          <w:i/>
          <w:iCs/>
          <w:color w:val="000000" w:themeColor="text1"/>
          <w:sz w:val="22"/>
          <w:highlight w:val="none"/>
          <w:u w:val="single"/>
          <w14:textFill>
            <w14:solidFill>
              <w14:schemeClr w14:val="tx1"/>
            </w14:solidFill>
          </w14:textFill>
        </w:rPr>
        <w:t xml:space="preserve">1.6</w:t>
      </w:r>
      <w:r>
        <w:rPr>
          <w:rFonts w:hint="eastAsia" w:ascii="宋体" w:hAnsi="宋体" w:cs="宋体"/>
          <w:i/>
          <w:iCs/>
          <w:color w:val="000000" w:themeColor="text1"/>
          <w:sz w:val="22"/>
          <w:highlight w:val="none"/>
          <w:u w:val="single"/>
          <w14:textFill>
            <w14:solidFill>
              <w14:schemeClr w14:val="tx1"/>
            </w14:solidFill>
          </w14:textFill>
        </w:rPr>
        <w:t xml:space="preserve">参加本次政府采购活动前</w:t>
      </w:r>
      <w:r>
        <w:rPr>
          <w:rFonts w:ascii="宋体" w:hAnsi="宋体" w:cs="宋体"/>
          <w:i/>
          <w:iCs/>
          <w:color w:val="000000" w:themeColor="text1"/>
          <w:sz w:val="22"/>
          <w:highlight w:val="none"/>
          <w:u w:val="single"/>
          <w14:textFill>
            <w14:solidFill>
              <w14:schemeClr w14:val="tx1"/>
            </w14:solidFill>
          </w14:textFill>
        </w:rPr>
        <w:t xml:space="preserve">3</w:t>
      </w:r>
      <w:r>
        <w:rPr>
          <w:rFonts w:hint="eastAsia" w:ascii="宋体" w:hAnsi="宋体" w:cs="宋体"/>
          <w:i/>
          <w:iCs/>
          <w:color w:val="000000" w:themeColor="text1"/>
          <w:sz w:val="22"/>
          <w:highlight w:val="none"/>
          <w:u w:val="single"/>
          <w14:textFill>
            <w14:solidFill>
              <w14:schemeClr w14:val="tx1"/>
            </w14:solidFill>
          </w14:textFill>
        </w:rPr>
        <w:t xml:space="preserve">年内在经营活动中没有重大违法记录的书面声明</w:t>
      </w:r>
      <w:r>
        <w:rPr>
          <w:rFonts w:hint="eastAsia" w:ascii="宋体" w:hAnsi="宋体" w:cs="宋体"/>
          <w:b/>
          <w:bCs/>
          <w:i/>
          <w:iCs/>
          <w:color w:val="000000" w:themeColor="text1"/>
          <w:sz w:val="22"/>
          <w:highlight w:val="none"/>
          <w:u w:val="single"/>
          <w14:textFill>
            <w14:solidFill>
              <w14:schemeClr w14:val="tx1"/>
            </w14:solidFill>
          </w14:textFill>
        </w:rPr>
        <w:t xml:space="preserve">（可提供</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基本资格条件承诺函</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w:t>
      </w:r>
      <w:r/>
    </w:p>
    <w:p>
      <w:pPr>
        <w:ind w:firstLine="420"/>
        <w:spacing w:line="360" w:lineRule="auto"/>
        <w:rPr>
          <w:rFonts w:ascii="宋体" w:cs="宋体"/>
          <w:b/>
          <w:bCs/>
          <w:i/>
          <w:color w:val="000000" w:themeColor="text1"/>
          <w:sz w:val="22"/>
          <w:highlight w:val="none"/>
          <w:u w:val="single"/>
          <w14:textFill>
            <w14:solidFill>
              <w14:schemeClr w14:val="tx1"/>
            </w14:solidFill>
          </w14:textFill>
        </w:rPr>
      </w:pPr>
      <w:r>
        <w:rPr>
          <w:rFonts w:ascii="宋体" w:hAnsi="宋体" w:cs="宋体"/>
          <w:i/>
          <w:iCs/>
          <w:color w:val="000000" w:themeColor="text1"/>
          <w:sz w:val="22"/>
          <w:highlight w:val="none"/>
          <w:u w:val="single"/>
          <w14:textFill>
            <w14:solidFill>
              <w14:schemeClr w14:val="tx1"/>
            </w14:solidFill>
          </w14:textFill>
        </w:rPr>
        <w:t xml:space="preserve">1.7</w:t>
      </w:r>
      <w:r>
        <w:rPr>
          <w:rFonts w:hint="eastAsia" w:ascii="宋体" w:hAnsi="宋体" w:cs="宋体"/>
          <w:i/>
          <w:iCs/>
          <w:color w:val="000000" w:themeColor="text1"/>
          <w:sz w:val="22"/>
          <w:highlight w:val="none"/>
          <w:u w:val="single"/>
          <w14:textFill>
            <w14:solidFill>
              <w14:schemeClr w14:val="tx1"/>
            </w14:solidFill>
          </w14:textFill>
        </w:rPr>
        <w:t xml:space="preserve">未被</w:t>
      </w:r>
      <w:r>
        <w:rPr>
          <w:rFonts w:hint="eastAsia" w:ascii="宋体" w:cs="宋体"/>
          <w:i/>
          <w:iCs/>
          <w:color w:val="000000" w:themeColor="text1"/>
          <w:sz w:val="22"/>
          <w:highlight w:val="none"/>
          <w:u w:val="single"/>
          <w14:textFill>
            <w14:solidFill>
              <w14:schemeClr w14:val="tx1"/>
            </w14:solidFill>
          </w14:textFill>
        </w:rPr>
        <w:t xml:space="preserve">“</w:t>
      </w:r>
      <w:r>
        <w:rPr>
          <w:rFonts w:hint="eastAsia" w:ascii="宋体" w:hAnsi="宋体" w:cs="宋体"/>
          <w:i/>
          <w:iCs/>
          <w:color w:val="000000" w:themeColor="text1"/>
          <w:sz w:val="22"/>
          <w:highlight w:val="none"/>
          <w:u w:val="single"/>
          <w14:textFill>
            <w14:solidFill>
              <w14:schemeClr w14:val="tx1"/>
            </w14:solidFill>
          </w14:textFill>
        </w:rPr>
        <w:t xml:space="preserve">信用中国</w:t>
      </w:r>
      <w:r>
        <w:rPr>
          <w:rFonts w:hint="eastAsia" w:ascii="宋体" w:cs="宋体"/>
          <w:i/>
          <w:iCs/>
          <w:color w:val="000000" w:themeColor="text1"/>
          <w:sz w:val="22"/>
          <w:highlight w:val="none"/>
          <w:u w:val="single"/>
          <w14:textFill>
            <w14:solidFill>
              <w14:schemeClr w14:val="tx1"/>
            </w14:solidFill>
          </w14:textFill>
        </w:rPr>
        <w:t xml:space="preserve">”</w:t>
      </w:r>
      <w:r>
        <w:rPr>
          <w:rFonts w:hint="eastAsia" w:ascii="宋体" w:hAnsi="宋体" w:cs="宋体"/>
          <w:i/>
          <w:iCs/>
          <w:color w:val="000000" w:themeColor="text1"/>
          <w:sz w:val="22"/>
          <w:highlight w:val="none"/>
          <w:u w:val="single"/>
          <w14:textFill>
            <w14:solidFill>
              <w14:schemeClr w14:val="tx1"/>
            </w14:solidFill>
          </w14:textFill>
        </w:rPr>
        <w:t xml:space="preserve">网站（</w:t>
      </w:r>
      <w:r>
        <w:rPr>
          <w:rFonts w:ascii="宋体" w:hAnsi="宋体" w:cs="宋体"/>
          <w:i/>
          <w:iCs/>
          <w:color w:val="000000" w:themeColor="text1"/>
          <w:sz w:val="22"/>
          <w:highlight w:val="none"/>
          <w:u w:val="single"/>
          <w14:textFill>
            <w14:solidFill>
              <w14:schemeClr w14:val="tx1"/>
            </w14:solidFill>
          </w14:textFill>
        </w:rPr>
        <w:t xml:space="preserve">www.creditchina.gov.cn</w:t>
      </w:r>
      <w:r>
        <w:rPr>
          <w:rFonts w:hint="eastAsia" w:ascii="宋体" w:hAnsi="宋体" w:cs="宋体"/>
          <w:i/>
          <w:iCs/>
          <w:color w:val="000000" w:themeColor="text1"/>
          <w:sz w:val="22"/>
          <w:highlight w:val="none"/>
          <w:u w:val="single"/>
          <w14:textFill>
            <w14:solidFill>
              <w14:schemeClr w14:val="tx1"/>
            </w14:solidFill>
          </w14:textFill>
        </w:rPr>
        <w:t xml:space="preserve">）、</w:t>
      </w:r>
      <w:r>
        <w:rPr>
          <w:rFonts w:hint="eastAsia" w:ascii="宋体" w:cs="宋体"/>
          <w:i/>
          <w:iCs/>
          <w:color w:val="000000" w:themeColor="text1"/>
          <w:sz w:val="22"/>
          <w:highlight w:val="none"/>
          <w:u w:val="single"/>
          <w14:textFill>
            <w14:solidFill>
              <w14:schemeClr w14:val="tx1"/>
            </w14:solidFill>
          </w14:textFill>
        </w:rPr>
        <w:t xml:space="preserve">“</w:t>
      </w:r>
      <w:r>
        <w:rPr>
          <w:rFonts w:hint="eastAsia" w:ascii="宋体" w:hAnsi="宋体" w:cs="宋体"/>
          <w:i/>
          <w:iCs/>
          <w:color w:val="000000" w:themeColor="text1"/>
          <w:sz w:val="22"/>
          <w:highlight w:val="none"/>
          <w:u w:val="single"/>
          <w14:textFill>
            <w14:solidFill>
              <w14:schemeClr w14:val="tx1"/>
            </w14:solidFill>
          </w14:textFill>
        </w:rPr>
        <w:t xml:space="preserve">中国政府采购网</w:t>
      </w:r>
      <w:r>
        <w:rPr>
          <w:rFonts w:ascii="宋体" w:hAnsi="宋体" w:cs="宋体"/>
          <w:i/>
          <w:iCs/>
          <w:color w:val="000000" w:themeColor="text1"/>
          <w:sz w:val="22"/>
          <w:highlight w:val="none"/>
          <w:u w:val="single"/>
          <w14:textFill>
            <w14:solidFill>
              <w14:schemeClr w14:val="tx1"/>
            </w14:solidFill>
          </w14:textFill>
        </w:rPr>
        <w:t xml:space="preserve">"(www.ccgp.gov.cn)</w:t>
      </w:r>
      <w:r>
        <w:rPr>
          <w:rFonts w:hint="eastAsia" w:ascii="宋体" w:hAnsi="宋体" w:cs="宋体"/>
          <w:i/>
          <w:iCs/>
          <w:color w:val="000000" w:themeColor="text1"/>
          <w:sz w:val="22"/>
          <w:highlight w:val="none"/>
          <w:u w:val="single"/>
          <w14:textFill>
            <w14:solidFill>
              <w14:schemeClr w14:val="tx1"/>
            </w14:solidFill>
          </w14:textFill>
        </w:rPr>
        <w:t xml:space="preserve">列入失信被执行人、重大税收违法案件当事人名单、政府采购严重违法失信行为记录名单</w:t>
      </w:r>
      <w:r>
        <w:rPr>
          <w:rFonts w:hint="eastAsia" w:ascii="宋体" w:hAnsi="宋体" w:cs="宋体"/>
          <w:b/>
          <w:bCs/>
          <w:i/>
          <w:iCs/>
          <w:color w:val="000000" w:themeColor="text1"/>
          <w:sz w:val="22"/>
          <w:highlight w:val="none"/>
          <w:u w:val="single"/>
          <w14:textFill>
            <w14:solidFill>
              <w14:schemeClr w14:val="tx1"/>
            </w14:solidFill>
          </w14:textFill>
        </w:rPr>
        <w:t xml:space="preserve">（可提供</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基本资格条件承诺函</w:t>
      </w:r>
      <w:r>
        <w:rPr>
          <w:rFonts w:hint="eastAsia" w:asci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w:t>
      </w:r>
      <w:r/>
    </w:p>
    <w:p>
      <w:pPr>
        <w:ind w:firstLine="420"/>
        <w:spacing w:line="360" w:lineRule="auto"/>
        <w:rPr>
          <w:rFonts w:ascii="宋体" w:cs="宋体"/>
          <w:color w:val="000000" w:themeColor="text1"/>
          <w:sz w:val="22"/>
          <w:highlight w:val="none"/>
          <w14:textFill>
            <w14:solidFill>
              <w14:schemeClr w14:val="tx1"/>
            </w14:solidFill>
          </w14:textFill>
        </w:rPr>
      </w:pPr>
      <w:r>
        <w:rPr>
          <w:rFonts w:ascii="宋体" w:hAnsi="宋体" w:cs="宋体"/>
          <w:i/>
          <w:iCs/>
          <w:color w:val="000000" w:themeColor="text1"/>
          <w:sz w:val="22"/>
          <w:highlight w:val="none"/>
          <w:u w:val="single"/>
          <w14:textFill>
            <w14:solidFill>
              <w14:schemeClr w14:val="tx1"/>
            </w14:solidFill>
          </w14:textFill>
        </w:rPr>
        <w:t xml:space="preserve">1.8</w:t>
      </w:r>
      <w:r>
        <w:rPr>
          <w:rFonts w:hint="eastAsia" w:ascii="宋体" w:hAnsi="宋体" w:cs="宋体"/>
          <w:i/>
          <w:iCs/>
          <w:color w:val="000000" w:themeColor="text1"/>
          <w:sz w:val="22"/>
          <w:highlight w:val="none"/>
          <w:u w:val="single"/>
          <w14:textFill>
            <w14:solidFill>
              <w14:schemeClr w14:val="tx1"/>
            </w14:solidFill>
          </w14:textFill>
        </w:rPr>
        <w:t xml:space="preserve">供应商信用承诺函</w:t>
      </w:r>
      <w:r/>
    </w:p>
    <w:p>
      <w:pPr>
        <w:ind w:firstLine="420"/>
        <w:spacing w:line="360" w:lineRule="auto"/>
        <w:rPr>
          <w:rFonts w:asci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（二）落实政府采购政策需满足的资格要求：</w:t>
      </w:r>
      <w:r/>
    </w:p>
    <w:p>
      <w:pPr>
        <w:ind w:firstLine="420"/>
        <w:spacing w:line="360" w:lineRule="auto"/>
        <w:rPr>
          <w:rFonts w:ascii="宋体" w:cs="宋体"/>
          <w:color w:val="000000" w:themeColor="text1"/>
          <w:sz w:val="22"/>
          <w:highlight w:val="none"/>
          <w14:textFill>
            <w14:solidFill>
              <w14:schemeClr w14:val="tx1"/>
            </w14:solidFill>
          </w14:textFill>
        </w:rPr>
      </w:pPr>
      <w:r>
        <w:rPr>
          <w:rFonts w:hint="eastAsia" w:ascii="宋体" w:hAnsi="宋体" w:cs="宋体"/>
          <w:i/>
          <w:iCs/>
          <w:color w:val="000000" w:themeColor="text1"/>
          <w:sz w:val="22"/>
          <w:highlight w:val="none"/>
          <w:u w:val="single"/>
          <w14:textFill>
            <w14:solidFill>
              <w14:schemeClr w14:val="tx1"/>
            </w14:solidFill>
          </w14:textFill>
        </w:rPr>
        <w:t xml:space="preserve">根据《政府采购促进中小企业发展管理办法》的规定，本项目专门面向中小企业采购，供应商投标时须提供《中小企业声明函》，《中小企业声明函》不符合要求或未提供的，投标文件无效。</w:t>
      </w:r>
      <w:r/>
    </w:p>
    <w:p>
      <w:pPr>
        <w:ind w:firstLine="420"/>
        <w:spacing w:line="360" w:lineRule="auto"/>
        <w:rPr>
          <w:rFonts w:asci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（三）本项目的特定资格要求：</w:t>
      </w:r>
      <w:r/>
    </w:p>
    <w:p>
      <w:pPr>
        <w:ind w:firstLine="420"/>
        <w:spacing w:line="360" w:lineRule="auto"/>
        <w:rPr>
          <w:rFonts w:ascii="宋体" w:cs="宋体"/>
          <w:bCs/>
          <w:i/>
          <w:color w:val="000000" w:themeColor="text1"/>
          <w:sz w:val="22"/>
          <w:highlight w:val="none"/>
          <w:u w:val="single"/>
          <w14:textFill>
            <w14:solidFill>
              <w14:schemeClr w14:val="tx1"/>
            </w14:solidFill>
          </w14:textFill>
        </w:rPr>
      </w:pPr>
      <w:r>
        <w:rPr>
          <w:rFonts w:hint="eastAsia" w:ascii="宋体" w:hAnsi="宋体" w:cs="宋体"/>
          <w:i/>
          <w:iCs/>
          <w:color w:val="000000" w:themeColor="text1"/>
          <w:sz w:val="22"/>
          <w:highlight w:val="none"/>
          <w:u w:val="single"/>
          <w14:textFill>
            <w14:solidFill>
              <w14:schemeClr w14:val="tx1"/>
            </w14:solidFill>
          </w14:textFill>
        </w:rPr>
        <w:t xml:space="preserve">投标人需具备有效的《城市生活垃圾经营性清扫、收集、运输服务许可证》</w:t>
      </w:r>
      <w:r>
        <w:rPr>
          <w:rFonts w:ascii="宋体" w:hAnsi="宋体" w:cs="宋体"/>
          <w:b/>
          <w:bCs/>
          <w:i/>
          <w:iCs/>
          <w:color w:val="000000" w:themeColor="text1"/>
          <w:sz w:val="22"/>
          <w:highlight w:val="none"/>
          <w:u w:val="single"/>
          <w14:textFill>
            <w14:solidFill>
              <w14:schemeClr w14:val="tx1"/>
            </w14:solidFill>
          </w14:textFill>
        </w:rPr>
        <w:t xml:space="preserve">(</w:t>
      </w:r>
      <w:r>
        <w:rPr>
          <w:rFonts w:hint="eastAsia" w:ascii="宋体" w:hAnsi="宋体" w:cs="宋体"/>
          <w:b/>
          <w:bCs/>
          <w:i/>
          <w:iCs/>
          <w:color w:val="000000" w:themeColor="text1"/>
          <w:sz w:val="22"/>
          <w:highlight w:val="none"/>
          <w:u w:val="single"/>
          <w14:textFill>
            <w14:solidFill>
              <w14:schemeClr w14:val="tx1"/>
            </w14:solidFill>
          </w14:textFill>
        </w:rPr>
        <w:t xml:space="preserve">投标人提供证书原件扫描上传）</w:t>
      </w:r>
      <w:r/>
    </w:p>
    <w:p>
      <w:pPr>
        <w:pStyle w:val="848"/>
        <w:spacing w:before="260" w:after="260" w:line="360" w:lineRule="auto"/>
        <w:rPr>
          <w:color w:val="000000" w:themeColor="text1"/>
          <w:highlight w:val="none"/>
          <w14:textFill>
            <w14:solidFill>
              <w14:schemeClr w14:val="tx1"/>
            </w14:solidFill>
          </w14:textFill>
        </w:rPr>
      </w:pPr>
      <w:r/>
      <w:bookmarkStart w:id="10" w:name="_Toc18416"/>
      <w:r/>
      <w:bookmarkStart w:id="11" w:name="_Toc22559"/>
      <w:r>
        <w:rPr>
          <w:rFonts w:hint="eastAsia" w:ascii="宋体" w:hAnsi="宋体" w:cs="宋体"/>
          <w:b/>
          <w:bCs/>
          <w:color w:val="000000" w:themeColor="text1"/>
          <w:sz w:val="21"/>
          <w:szCs w:val="21"/>
          <w:highlight w:val="none"/>
          <w14:textFill>
            <w14:solidFill>
              <w14:schemeClr w14:val="tx1"/>
            </w14:solidFill>
          </w14:textFill>
        </w:rPr>
        <w:t xml:space="preserve">三、获取采购文件</w:t>
      </w:r>
      <w:bookmarkEnd w:id="10"/>
      <w:r/>
      <w:bookmarkEnd w:id="11"/>
      <w:r/>
      <w:r/>
    </w:p>
    <w:p>
      <w:pPr>
        <w:ind w:firstLine="420"/>
        <w:spacing w:line="360" w:lineRule="auto"/>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时间：自本公告发布之日起</w:t>
      </w:r>
      <w:r>
        <w:rPr>
          <w:rFonts w:ascii="宋体" w:hAnsi="宋体" w:cs="宋体"/>
          <w:color w:val="000000" w:themeColor="text1"/>
          <w:sz w:val="22"/>
          <w:highlight w:val="none"/>
          <w14:textFill>
            <w14:solidFill>
              <w14:schemeClr w14:val="tx1"/>
            </w14:solidFill>
          </w14:textFill>
        </w:rPr>
        <w:t xml:space="preserve">5</w:t>
      </w:r>
      <w:r>
        <w:rPr>
          <w:rFonts w:hint="eastAsia" w:ascii="宋体" w:hAnsi="宋体" w:cs="宋体"/>
          <w:color w:val="000000" w:themeColor="text1"/>
          <w:sz w:val="22"/>
          <w:highlight w:val="none"/>
          <w14:textFill>
            <w14:solidFill>
              <w14:schemeClr w14:val="tx1"/>
            </w14:solidFill>
          </w14:textFill>
        </w:rPr>
        <w:t xml:space="preserve">个工作日，</w:t>
      </w:r>
      <w:r>
        <w:rPr>
          <w:rFonts w:ascii="宋体" w:hAnsi="宋体" w:cs="宋体"/>
          <w:color w:val="000000" w:themeColor="text1"/>
          <w:sz w:val="22"/>
          <w:highlight w:val="none"/>
          <w14:textFill>
            <w14:solidFill>
              <w14:schemeClr w14:val="tx1"/>
            </w14:solidFill>
          </w14:textFill>
        </w:rPr>
        <w:t xml:space="preserve">5</w:t>
      </w:r>
      <w:r>
        <w:rPr>
          <w:rFonts w:hint="eastAsia" w:ascii="宋体" w:hAnsi="宋体" w:cs="宋体"/>
          <w:color w:val="000000" w:themeColor="text1"/>
          <w:sz w:val="22"/>
          <w:highlight w:val="none"/>
          <w14:textFill>
            <w14:solidFill>
              <w14:schemeClr w14:val="tx1"/>
            </w14:solidFill>
          </w14:textFill>
        </w:rPr>
        <w:t xml:space="preserve">个工作日后仍可下载采购文件，但不作为供应商权益受到损害的证明材料和依据。</w:t>
      </w:r>
      <w:r/>
    </w:p>
    <w:p>
      <w:pPr>
        <w:ind w:firstLine="422"/>
        <w:spacing w:line="360" w:lineRule="auto"/>
        <w:rPr>
          <w:rFonts w:ascii="宋体"/>
          <w:b/>
          <w:bCs/>
          <w:color w:val="000000" w:themeColor="text1"/>
          <w:szCs w:val="2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获取方式：</w:t>
      </w:r>
      <w:r>
        <w:rPr>
          <w:rFonts w:hint="eastAsia" w:ascii="宋体" w:hAnsi="宋体"/>
          <w:b/>
          <w:bCs/>
          <w:color w:val="000000" w:themeColor="text1"/>
          <w:szCs w:val="21"/>
          <w:highlight w:val="none"/>
          <w14:textFill>
            <w14:solidFill>
              <w14:schemeClr w14:val="tx1"/>
            </w14:solidFill>
          </w14:textFill>
        </w:rPr>
        <w:t xml:space="preserve">本项目采用网上注册登记方式。</w:t>
      </w:r>
      <w:r/>
    </w:p>
    <w:p>
      <w:pPr>
        <w:ind w:firstLine="422"/>
        <w:spacing w:line="360" w:lineRule="auto"/>
        <w:rPr>
          <w:rFonts w:asci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3.</w:t>
      </w:r>
      <w:r>
        <w:rPr>
          <w:rFonts w:hint="eastAsia" w:ascii="宋体" w:hAnsi="宋体" w:cs="宋体"/>
          <w:b/>
          <w:bCs/>
          <w:color w:val="000000" w:themeColor="text1"/>
          <w:highlight w:val="none"/>
          <w14:textFill>
            <w14:solidFill>
              <w14:schemeClr w14:val="tx1"/>
            </w14:solidFill>
          </w14:textFill>
        </w:rPr>
        <w:t xml:space="preserve">潜在供应商访问政府采购管理交易系统（苏采云）的网络地址和方法：</w:t>
      </w:r>
      <w:r/>
    </w:p>
    <w:p>
      <w:pPr>
        <w:ind w:firstLine="422"/>
        <w:spacing w:line="360" w:lineRule="auto"/>
        <w:rPr>
          <w:rFonts w:asci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b/>
          <w:bCs/>
          <w:color w:val="000000" w:themeColor="text1"/>
          <w:highlight w:val="none"/>
          <w14:textFill>
            <w14:solidFill>
              <w14:schemeClr w14:val="tx1"/>
            </w14:solidFill>
          </w14:textFill>
        </w:rPr>
        <w:t xml:space="preserve">1</w:t>
      </w:r>
      <w:r>
        <w:rPr>
          <w:rFonts w:hint="eastAsia" w:ascii="宋体" w:hAnsi="宋体" w:cs="宋体"/>
          <w:b/>
          <w:bCs/>
          <w:color w:val="000000" w:themeColor="text1"/>
          <w:highlight w:val="none"/>
          <w14:textFill>
            <w14:solidFill>
              <w14:schemeClr w14:val="tx1"/>
            </w14:solidFill>
          </w14:textFill>
        </w:rPr>
        <w:t xml:space="preserve">）潜在供应商访问政府采购管理交易系统（苏采云）的方法：“苏采云”系统用户注册</w:t>
      </w:r>
      <w:r>
        <w:rPr>
          <w:rFonts w:asci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获取“</w:t>
      </w:r>
      <w:r>
        <w:rPr>
          <w:rFonts w:ascii="宋体" w:hAnsi="宋体" w:cs="宋体"/>
          <w:b/>
          <w:bCs/>
          <w:color w:val="000000" w:themeColor="text1"/>
          <w:highlight w:val="none"/>
          <w14:textFill>
            <w14:solidFill>
              <w14:schemeClr w14:val="tx1"/>
            </w14:solidFill>
          </w14:textFill>
        </w:rPr>
        <w:t xml:space="preserve">CA</w:t>
      </w:r>
      <w:r>
        <w:rPr>
          <w:rFonts w:hint="eastAsia" w:ascii="宋体" w:hAnsi="宋体" w:cs="宋体"/>
          <w:b/>
          <w:bCs/>
          <w:color w:val="000000" w:themeColor="text1"/>
          <w:highlight w:val="none"/>
          <w14:textFill>
            <w14:solidFill>
              <w14:schemeClr w14:val="tx1"/>
            </w14:solidFill>
          </w14:textFill>
        </w:rPr>
        <w:t xml:space="preserve">数字证书”</w:t>
      </w:r>
      <w:r>
        <w:rPr>
          <w:rFonts w:ascii="宋体" w:hAnsi="宋体" w:cs="宋体"/>
          <w:b/>
          <w:bCs/>
          <w:color w:val="000000" w:themeColor="text1"/>
          <w:highlight w:val="none"/>
          <w14:textFill>
            <w14:solidFill>
              <w14:schemeClr w14:val="tx1"/>
            </w14:solidFill>
          </w14:textFill>
        </w:rPr>
        <w:t xml:space="preserve">--CA</w:t>
      </w:r>
      <w:r>
        <w:rPr>
          <w:rFonts w:hint="eastAsia" w:ascii="宋体" w:hAnsi="宋体" w:cs="宋体"/>
          <w:b/>
          <w:bCs/>
          <w:color w:val="000000" w:themeColor="text1"/>
          <w:highlight w:val="none"/>
          <w14:textFill>
            <w14:solidFill>
              <w14:schemeClr w14:val="tx1"/>
            </w14:solidFill>
          </w14:textFill>
        </w:rPr>
        <w:t xml:space="preserve">绑定与登录</w:t>
      </w:r>
      <w:r>
        <w:rPr>
          <w:rFonts w:asci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网上报名</w:t>
      </w:r>
      <w:r>
        <w:rPr>
          <w:rFonts w:asci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下载采购文件（后缀名为“</w:t>
      </w:r>
      <w:r>
        <w:rPr>
          <w:rFonts w:ascii="宋体" w:hAnsi="宋体" w:cs="宋体"/>
          <w:b/>
          <w:bCs/>
          <w:color w:val="000000" w:themeColor="text1"/>
          <w:highlight w:val="none"/>
          <w14:textFill>
            <w14:solidFill>
              <w14:schemeClr w14:val="tx1"/>
            </w14:solidFill>
          </w14:textFill>
        </w:rPr>
        <w:t xml:space="preserve">.kedt</w:t>
      </w:r>
      <w:r>
        <w:rPr>
          <w:rFonts w:hint="eastAsia" w:ascii="宋体" w:hAnsi="宋体" w:cs="宋体"/>
          <w:b/>
          <w:bCs/>
          <w:color w:val="000000" w:themeColor="text1"/>
          <w:highlight w:val="none"/>
          <w14:textFill>
            <w14:solidFill>
              <w14:schemeClr w14:val="tx1"/>
            </w14:solidFill>
          </w14:textFill>
        </w:rPr>
        <w:t xml:space="preserve">”）</w:t>
      </w:r>
      <w:r>
        <w:rPr>
          <w:rFonts w:asci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将后缀名为“</w:t>
      </w:r>
      <w:r>
        <w:rPr>
          <w:rFonts w:ascii="宋体" w:hAnsi="宋体" w:cs="宋体"/>
          <w:b/>
          <w:bCs/>
          <w:color w:val="000000" w:themeColor="text1"/>
          <w:highlight w:val="none"/>
          <w14:textFill>
            <w14:solidFill>
              <w14:schemeClr w14:val="tx1"/>
            </w14:solidFill>
          </w14:textFill>
        </w:rPr>
        <w:t xml:space="preserve">.kedt</w:t>
      </w:r>
      <w:r>
        <w:rPr>
          <w:rFonts w:hint="eastAsia" w:ascii="宋体" w:hAnsi="宋体" w:cs="宋体"/>
          <w:b/>
          <w:bCs/>
          <w:color w:val="000000" w:themeColor="text1"/>
          <w:highlight w:val="none"/>
          <w14:textFill>
            <w14:solidFill>
              <w14:schemeClr w14:val="tx1"/>
            </w14:solidFill>
          </w14:textFill>
        </w:rPr>
        <w:t xml:space="preserve">”的采购文件导入政府采购客户端工具</w:t>
      </w:r>
      <w:r>
        <w:rPr>
          <w:rFonts w:asci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制作投标文件</w:t>
      </w:r>
      <w:r>
        <w:rPr>
          <w:rFonts w:asci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导出加密的投标文件（后缀名为</w:t>
      </w:r>
      <w:r>
        <w:rPr>
          <w:rFonts w:ascii="宋体" w:hAnsi="宋体" w:cs="宋体"/>
          <w:b/>
          <w:bCs/>
          <w:color w:val="000000" w:themeColor="text1"/>
          <w:highlight w:val="none"/>
          <w14:textFill>
            <w14:solidFill>
              <w14:schemeClr w14:val="tx1"/>
            </w14:solidFill>
          </w14:textFill>
        </w:rPr>
        <w:t xml:space="preserve">zip</w:t>
      </w:r>
      <w:r>
        <w:rPr>
          <w:rFonts w:hint="eastAsia" w:ascii="宋体" w:hAnsi="宋体" w:cs="宋体"/>
          <w:b/>
          <w:bCs/>
          <w:color w:val="000000" w:themeColor="text1"/>
          <w:highlight w:val="none"/>
          <w14:textFill>
            <w14:solidFill>
              <w14:schemeClr w14:val="tx1"/>
            </w14:solidFill>
          </w14:textFill>
        </w:rPr>
        <w:t xml:space="preserve">）</w:t>
      </w:r>
      <w:r>
        <w:rPr>
          <w:rFonts w:asci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通过“苏采云”系统上传投标文件。</w:t>
      </w:r>
      <w:r/>
    </w:p>
    <w:p>
      <w:pPr>
        <w:ind w:firstLine="422"/>
        <w:spacing w:line="360" w:lineRule="auto"/>
        <w:rPr>
          <w:rFonts w:asci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b/>
          <w:bCs/>
          <w:color w:val="000000" w:themeColor="text1"/>
          <w:highlight w:val="none"/>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b/>
          <w:bCs/>
          <w:color w:val="000000" w:themeColor="text1"/>
          <w:highlight w:val="none"/>
          <w14:textFill>
            <w14:solidFill>
              <w14:schemeClr w14:val="tx1"/>
            </w14:solidFill>
          </w14:textFill>
        </w:rPr>
        <w:t xml:space="preserve">CA</w:t>
      </w:r>
      <w:r>
        <w:rPr>
          <w:rFonts w:hint="eastAsia" w:ascii="宋体" w:hAnsi="宋体" w:cs="宋体"/>
          <w:b/>
          <w:bCs/>
          <w:color w:val="000000" w:themeColor="text1"/>
          <w:highlight w:val="none"/>
          <w14:textFill>
            <w14:solidFill>
              <w14:schemeClr w14:val="tx1"/>
            </w14:solidFill>
          </w14:textFill>
        </w:rPr>
        <w:t xml:space="preserve">数字证书”的获取：供应商需办理</w:t>
      </w:r>
      <w:r>
        <w:rPr>
          <w:rFonts w:ascii="宋体" w:hAnsi="宋体" w:cs="宋体"/>
          <w:b/>
          <w:bCs/>
          <w:color w:val="000000" w:themeColor="text1"/>
          <w:highlight w:val="none"/>
          <w14:textFill>
            <w14:solidFill>
              <w14:schemeClr w14:val="tx1"/>
            </w14:solidFill>
          </w14:textFill>
        </w:rPr>
        <w:t xml:space="preserve">CA</w:t>
      </w:r>
      <w:r>
        <w:rPr>
          <w:rFonts w:hint="eastAsia" w:ascii="宋体" w:hAnsi="宋体" w:cs="宋体"/>
          <w:b/>
          <w:bCs/>
          <w:color w:val="000000" w:themeColor="text1"/>
          <w:highlight w:val="none"/>
          <w14:textFill>
            <w14:solidFill>
              <w14:schemeClr w14:val="tx1"/>
            </w14:solidFill>
          </w14:textFill>
        </w:rPr>
        <w:t xml:space="preserve">锁，“苏采云”系统目前仅支持“苏采云”系统下的政务</w:t>
      </w:r>
      <w:r>
        <w:rPr>
          <w:rFonts w:ascii="宋体" w:hAnsi="宋体" w:cs="宋体"/>
          <w:b/>
          <w:bCs/>
          <w:color w:val="000000" w:themeColor="text1"/>
          <w:highlight w:val="none"/>
          <w14:textFill>
            <w14:solidFill>
              <w14:schemeClr w14:val="tx1"/>
            </w14:solidFill>
          </w14:textFill>
        </w:rPr>
        <w:t xml:space="preserve">CA</w:t>
      </w:r>
      <w:r>
        <w:rPr>
          <w:rFonts w:hint="eastAsia" w:ascii="宋体" w:hAnsi="宋体" w:cs="宋体"/>
          <w:b/>
          <w:bCs/>
          <w:color w:val="000000" w:themeColor="text1"/>
          <w:highlight w:val="none"/>
          <w14:textFill>
            <w14:solidFill>
              <w14:schemeClr w14:val="tx1"/>
            </w14:solidFill>
          </w14:textFill>
        </w:rPr>
        <w:t xml:space="preserve">，省内各地区办理的“苏采云”系统下的政务</w:t>
      </w:r>
      <w:r>
        <w:rPr>
          <w:rFonts w:ascii="宋体" w:hAnsi="宋体" w:cs="宋体"/>
          <w:b/>
          <w:bCs/>
          <w:color w:val="000000" w:themeColor="text1"/>
          <w:highlight w:val="none"/>
          <w14:textFill>
            <w14:solidFill>
              <w14:schemeClr w14:val="tx1"/>
            </w14:solidFill>
          </w14:textFill>
        </w:rPr>
        <w:t xml:space="preserve">CA</w:t>
      </w:r>
      <w:r>
        <w:rPr>
          <w:rFonts w:hint="eastAsia" w:ascii="宋体" w:hAnsi="宋体" w:cs="宋体"/>
          <w:b/>
          <w:bCs/>
          <w:color w:val="000000" w:themeColor="text1"/>
          <w:highlight w:val="none"/>
          <w14:textFill>
            <w14:solidFill>
              <w14:schemeClr w14:val="tx1"/>
            </w14:solidFill>
          </w14:textFill>
        </w:rPr>
        <w:t xml:space="preserve">全省通用。</w:t>
      </w:r>
      <w:r/>
    </w:p>
    <w:p>
      <w:pPr>
        <w:ind w:firstLine="422"/>
        <w:spacing w:line="360" w:lineRule="auto"/>
        <w:rPr>
          <w:rFonts w:asci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b/>
          <w:bCs/>
          <w:color w:val="000000" w:themeColor="text1"/>
          <w:highlight w:val="none"/>
          <w14:textFill>
            <w14:solidFill>
              <w14:schemeClr w14:val="tx1"/>
            </w14:solidFill>
          </w14:textFill>
        </w:rPr>
        <w:t xml:space="preserve">3</w:t>
      </w: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b/>
          <w:bCs/>
          <w:color w:val="000000" w:themeColor="text1"/>
          <w:highlight w:val="none"/>
          <w14:textFill>
            <w14:solidFill>
              <w14:schemeClr w14:val="tx1"/>
            </w14:solidFill>
          </w14:textFill>
        </w:rPr>
        <w:t xml:space="preserve">CA</w:t>
      </w:r>
      <w:r>
        <w:rPr>
          <w:rFonts w:hint="eastAsia" w:ascii="宋体" w:hAnsi="宋体" w:cs="宋体"/>
          <w:b/>
          <w:bCs/>
          <w:color w:val="000000" w:themeColor="text1"/>
          <w:highlight w:val="none"/>
          <w14:textFill>
            <w14:solidFill>
              <w14:schemeClr w14:val="tx1"/>
            </w14:solidFill>
          </w14:textFill>
        </w:rPr>
        <w:t xml:space="preserve">数字证书”的办理材料以及供应商操作手册详见：</w:t>
      </w:r>
      <w:r/>
    </w:p>
    <w:p>
      <w:pPr>
        <w:ind w:firstLine="422"/>
        <w:spacing w:line="360" w:lineRule="auto"/>
        <w:rPr>
          <w:rFonts w:asci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http://zfcg.yangzhou.gov.cn/zfcg/xzzx/202309/4d7de1f7865f4a2894fc22bc452f94d8.shtml</w:t>
      </w:r>
      <w:r>
        <w:rPr>
          <w:rFonts w:hint="eastAsia" w:ascii="宋体" w:hAnsi="宋体" w:cs="宋体"/>
          <w:b/>
          <w:bCs/>
          <w:color w:val="000000" w:themeColor="text1"/>
          <w:highlight w:val="none"/>
          <w14:textFill>
            <w14:solidFill>
              <w14:schemeClr w14:val="tx1"/>
            </w14:solidFill>
          </w14:textFill>
        </w:rPr>
        <w:t xml:space="preserve">。</w:t>
      </w:r>
      <w:r/>
    </w:p>
    <w:p>
      <w:pPr>
        <w:ind w:firstLine="422"/>
        <w:spacing w:line="360" w:lineRule="auto"/>
        <w:rPr>
          <w:rFonts w:asci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b/>
          <w:bCs/>
          <w:color w:val="000000" w:themeColor="text1"/>
          <w:highlight w:val="none"/>
          <w14:textFill>
            <w14:solidFill>
              <w14:schemeClr w14:val="tx1"/>
            </w14:solidFill>
          </w14:textFill>
        </w:rPr>
        <w:t xml:space="preserve">4</w:t>
      </w:r>
      <w:r>
        <w:rPr>
          <w:rFonts w:hint="eastAsia" w:ascii="宋体" w:hAnsi="宋体" w:cs="宋体"/>
          <w:b/>
          <w:bCs/>
          <w:color w:val="000000" w:themeColor="text1"/>
          <w:highlight w:val="none"/>
          <w14:textFill>
            <w14:solidFill>
              <w14:schemeClr w14:val="tx1"/>
            </w14:solidFill>
          </w14:textFill>
        </w:rPr>
        <w:t xml:space="preserve">）潜在供应商访问“苏采云”系统的网络地址和方法：“苏采云”系统的网址：</w:t>
      </w:r>
      <w:r>
        <w:rPr>
          <w:rFonts w:ascii="宋体" w:hAnsi="宋体" w:cs="宋体"/>
          <w:b/>
          <w:bCs/>
          <w:color w:val="000000" w:themeColor="text1"/>
          <w:highlight w:val="none"/>
          <w14:textFill>
            <w14:solidFill>
              <w14:schemeClr w14:val="tx1"/>
            </w14:solidFill>
          </w14:textFill>
        </w:rPr>
        <w:t xml:space="preserve">http://jszfcg.jsczt.cn/</w:t>
      </w:r>
      <w:r>
        <w:rPr>
          <w:rFonts w:hint="eastAsia" w:ascii="宋体" w:hAnsi="宋体" w:cs="宋体"/>
          <w:b/>
          <w:bCs/>
          <w:color w:val="000000" w:themeColor="text1"/>
          <w:highlight w:val="none"/>
          <w14:textFill>
            <w14:solidFill>
              <w14:schemeClr w14:val="tx1"/>
            </w14:solidFill>
          </w14:textFill>
        </w:rPr>
        <w:t xml:space="preserve">。</w:t>
      </w:r>
      <w:r/>
    </w:p>
    <w:p>
      <w:pPr>
        <w:ind w:firstLine="422"/>
        <w:spacing w:line="360" w:lineRule="auto"/>
        <w:rPr>
          <w:rFonts w:asci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b/>
          <w:bCs/>
          <w:color w:val="000000" w:themeColor="text1"/>
          <w:highlight w:val="none"/>
          <w14:textFill>
            <w14:solidFill>
              <w14:schemeClr w14:val="tx1"/>
            </w14:solidFill>
          </w14:textFill>
        </w:rPr>
        <w:t xml:space="preserve">5</w:t>
      </w:r>
      <w:r>
        <w:rPr>
          <w:rFonts w:hint="eastAsia" w:ascii="宋体" w:hAnsi="宋体" w:cs="宋体"/>
          <w:b/>
          <w:bCs/>
          <w:color w:val="000000" w:themeColor="text1"/>
          <w:highlight w:val="none"/>
          <w14:textFill>
            <w14:solidFill>
              <w14:schemeClr w14:val="tx1"/>
            </w14:solidFill>
          </w14:textFill>
        </w:rPr>
        <w:t xml:space="preserve">）采购文件（后缀名为“</w:t>
      </w:r>
      <w:r>
        <w:rPr>
          <w:rFonts w:ascii="宋体" w:hAnsi="宋体" w:cs="宋体"/>
          <w:b/>
          <w:bCs/>
          <w:color w:val="000000" w:themeColor="text1"/>
          <w:highlight w:val="none"/>
          <w14:textFill>
            <w14:solidFill>
              <w14:schemeClr w14:val="tx1"/>
            </w14:solidFill>
          </w14:textFill>
        </w:rPr>
        <w:t xml:space="preserve">.kedt</w:t>
      </w:r>
      <w:r>
        <w:rPr>
          <w:rFonts w:hint="eastAsia" w:ascii="宋体" w:hAnsi="宋体" w:cs="宋体"/>
          <w:b/>
          <w:bCs/>
          <w:color w:val="000000" w:themeColor="text1"/>
          <w:highlight w:val="none"/>
          <w14:textFill>
            <w14:solidFill>
              <w14:schemeClr w14:val="tx1"/>
            </w14:solidFill>
          </w14:textFill>
        </w:rPr>
        <w:t xml:space="preserve">”）、供应商操作手册及政府采购客户端工具也可通过“苏采云”系统</w:t>
      </w:r>
      <w:r>
        <w:rPr>
          <w:rFonts w:asci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已报名项目</w:t>
      </w:r>
      <w:r>
        <w:rPr>
          <w:rFonts w:asci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报名详情页面内相应链接进行下载。</w:t>
      </w:r>
      <w:r/>
    </w:p>
    <w:p>
      <w:pPr>
        <w:ind w:firstLine="422"/>
        <w:spacing w:line="360" w:lineRule="auto"/>
        <w:rPr>
          <w:rFonts w:asci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b/>
          <w:bCs/>
          <w:color w:val="000000" w:themeColor="text1"/>
          <w:highlight w:val="none"/>
          <w14:textFill>
            <w14:solidFill>
              <w14:schemeClr w14:val="tx1"/>
            </w14:solidFill>
          </w14:textFill>
        </w:rPr>
        <w:t xml:space="preserve">6</w:t>
      </w:r>
      <w:r>
        <w:rPr>
          <w:rFonts w:hint="eastAsia" w:ascii="宋体" w:hAnsi="宋体" w:cs="宋体"/>
          <w:b/>
          <w:bCs/>
          <w:color w:val="000000" w:themeColor="text1"/>
          <w:highlight w:val="none"/>
          <w14:textFill>
            <w14:solidFill>
              <w14:schemeClr w14:val="tx1"/>
            </w14:solidFill>
          </w14:textFill>
        </w:rPr>
        <w:t xml:space="preserve">）招标代理机构（采购代理机构）将数据电文形式的采购文件加载至“苏采云”系统，供潜在供应商下载或者查阅。</w:t>
      </w:r>
      <w:r/>
    </w:p>
    <w:p>
      <w:pPr>
        <w:ind w:firstLine="422"/>
        <w:spacing w:line="360" w:lineRule="auto"/>
        <w:rPr>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b/>
          <w:bCs/>
          <w:color w:val="000000" w:themeColor="text1"/>
          <w:highlight w:val="none"/>
          <w14:textFill>
            <w14:solidFill>
              <w14:schemeClr w14:val="tx1"/>
            </w14:solidFill>
          </w14:textFill>
        </w:rPr>
        <w:t xml:space="preserve">7</w:t>
      </w:r>
      <w:r>
        <w:rPr>
          <w:rFonts w:hint="eastAsia" w:ascii="宋体" w:hAnsi="宋体" w:cs="宋体"/>
          <w:b/>
          <w:bCs/>
          <w:color w:val="000000" w:themeColor="text1"/>
          <w:highlight w:val="none"/>
          <w14:textFill>
            <w14:solidFill>
              <w14:schemeClr w14:val="tx1"/>
            </w14:solidFill>
          </w14:textFill>
        </w:rPr>
        <w:t xml:space="preserve">）苏采云系统使用谷歌浏览器参与不见面开标。</w:t>
      </w:r>
      <w:r/>
    </w:p>
    <w:p>
      <w:pPr>
        <w:pStyle w:val="848"/>
        <w:spacing w:before="260" w:after="260" w:line="360" w:lineRule="auto"/>
        <w:rPr>
          <w:color w:val="000000" w:themeColor="text1"/>
          <w:highlight w:val="none"/>
          <w14:textFill>
            <w14:solidFill>
              <w14:schemeClr w14:val="tx1"/>
            </w14:solidFill>
          </w14:textFill>
        </w:rPr>
      </w:pPr>
      <w:r/>
      <w:bookmarkStart w:id="12" w:name="_Toc2624"/>
      <w:r/>
      <w:bookmarkStart w:id="13" w:name="_Toc29076"/>
      <w:r>
        <w:rPr>
          <w:rFonts w:hint="eastAsia" w:ascii="宋体" w:hAnsi="宋体" w:cs="宋体"/>
          <w:b/>
          <w:bCs/>
          <w:color w:val="000000" w:themeColor="text1"/>
          <w:sz w:val="21"/>
          <w:szCs w:val="21"/>
          <w:highlight w:val="none"/>
          <w14:textFill>
            <w14:solidFill>
              <w14:schemeClr w14:val="tx1"/>
            </w14:solidFill>
          </w14:textFill>
        </w:rPr>
        <w:t xml:space="preserve">四、提交投标文件截止时间、开标时间和地点</w:t>
      </w:r>
      <w:bookmarkEnd w:id="12"/>
      <w:r/>
      <w:bookmarkEnd w:id="13"/>
      <w:r/>
      <w:r/>
    </w:p>
    <w:p>
      <w:pPr>
        <w:ind w:firstLine="420"/>
        <w:spacing w:line="360" w:lineRule="auto"/>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时间：</w:t>
      </w:r>
      <w:r>
        <w:rPr>
          <w:rFonts w:ascii="宋体" w:hAnsi="宋体" w:cs="宋体"/>
          <w:color w:val="000000" w:themeColor="text1"/>
          <w:sz w:val="22"/>
          <w:highlight w:val="none"/>
          <w14:textFill>
            <w14:solidFill>
              <w14:schemeClr w14:val="tx1"/>
            </w14:solidFill>
          </w14:textFill>
        </w:rPr>
        <w:t xml:space="preserve">2025</w:t>
      </w:r>
      <w:r>
        <w:rPr>
          <w:rFonts w:hint="eastAsia" w:ascii="宋体" w:hAnsi="宋体" w:cs="宋体"/>
          <w:color w:val="000000" w:themeColor="text1"/>
          <w:sz w:val="22"/>
          <w:highlight w:val="none"/>
          <w14:textFill>
            <w14:solidFill>
              <w14:schemeClr w14:val="tx1"/>
            </w14:solidFill>
          </w14:textFill>
        </w:rPr>
        <w:t xml:space="preserve">年</w:t>
      </w:r>
      <w:r>
        <w:rPr>
          <w:rFonts w:hint="eastAsia" w:ascii="宋体" w:hAnsi="宋体" w:cs="宋体"/>
          <w:color w:val="000000" w:themeColor="text1"/>
          <w:sz w:val="22"/>
          <w:highlight w:val="none"/>
          <w:lang w:eastAsia="zh-CN"/>
          <w14:textFill>
            <w14:solidFill>
              <w14:schemeClr w14:val="tx1"/>
            </w14:solidFill>
          </w14:textFill>
        </w:rPr>
        <w:t xml:space="preserve">12月</w:t>
      </w:r>
      <w:r>
        <w:rPr>
          <w:rFonts w:hint="eastAsia" w:ascii="宋体" w:hAnsi="宋体" w:cs="宋体"/>
          <w:color w:val="ff0000"/>
          <w:sz w:val="22"/>
          <w:highlight w:val="none"/>
          <w:lang w:eastAsia="zh-CN"/>
        </w:rPr>
        <w:t xml:space="preserve">10日</w:t>
      </w:r>
      <w:r>
        <w:rPr>
          <w:rFonts w:ascii="宋体" w:hAnsi="宋体" w:cs="宋体"/>
          <w:color w:val="000000" w:themeColor="text1"/>
          <w:sz w:val="22"/>
          <w:highlight w:val="none"/>
          <w14:textFill>
            <w14:solidFill>
              <w14:schemeClr w14:val="tx1"/>
            </w14:solidFill>
          </w14:textFill>
        </w:rPr>
        <w:t xml:space="preserve"> 09:30 </w:t>
      </w:r>
      <w:r>
        <w:rPr>
          <w:rFonts w:hint="eastAsia" w:ascii="宋体" w:hAnsi="宋体" w:cs="宋体"/>
          <w:color w:val="000000" w:themeColor="text1"/>
          <w:sz w:val="22"/>
          <w:highlight w:val="none"/>
          <w14:textFill>
            <w14:solidFill>
              <w14:schemeClr w14:val="tx1"/>
            </w14:solidFill>
          </w14:textFill>
        </w:rPr>
        <w:t xml:space="preserve">（北京时间）</w:t>
      </w:r>
      <w:r/>
    </w:p>
    <w:p>
      <w:pPr>
        <w:ind w:firstLine="420"/>
        <w:spacing w:line="360" w:lineRule="auto"/>
        <w:rPr>
          <w:color w:val="000000" w:themeColor="text1"/>
          <w:highlight w:val="none"/>
          <w14:textFill>
            <w14:solidFill>
              <w14:schemeClr w14:val="tx1"/>
            </w14:solidFill>
          </w14:textFill>
        </w:rPr>
      </w:pPr>
      <w:r>
        <w:rPr>
          <w:rFonts w:ascii="宋体" w:hAnsi="宋体" w:cs="宋体"/>
          <w:b/>
          <w:bCs/>
          <w:color w:val="000000" w:themeColor="text1"/>
          <w:sz w:val="22"/>
          <w:highlight w:val="none"/>
          <w14:textFill>
            <w14:solidFill>
              <w14:schemeClr w14:val="tx1"/>
            </w14:solidFill>
          </w14:textFill>
        </w:rPr>
        <w:t xml:space="preserve">2.</w:t>
      </w:r>
      <w:r>
        <w:rPr>
          <w:rFonts w:hint="eastAsia" w:ascii="宋体" w:hAnsi="宋体" w:cs="宋体"/>
          <w:b/>
          <w:bCs/>
          <w:color w:val="000000" w:themeColor="text1"/>
          <w:sz w:val="22"/>
          <w:highlight w:val="none"/>
          <w14:textFill>
            <w14:solidFill>
              <w14:schemeClr w14:val="tx1"/>
            </w14:solidFill>
          </w14:textFill>
        </w:rPr>
        <w:t xml:space="preserve">地点：</w:t>
      </w:r>
      <w:r>
        <w:rPr>
          <w:rFonts w:hint="eastAsia" w:ascii="宋体" w:cs="宋体"/>
          <w:b/>
          <w:bCs/>
          <w:color w:val="000000" w:themeColor="text1"/>
          <w:sz w:val="22"/>
          <w:highlight w:val="none"/>
          <w14:textFill>
            <w14:solidFill>
              <w14:schemeClr w14:val="tx1"/>
            </w14:solidFill>
          </w14:textFill>
        </w:rPr>
        <w:t xml:space="preserve">“</w:t>
      </w:r>
      <w:r>
        <w:rPr>
          <w:rFonts w:hint="eastAsia" w:ascii="宋体" w:hAnsi="宋体" w:cs="宋体"/>
          <w:b/>
          <w:bCs/>
          <w:color w:val="000000" w:themeColor="text1"/>
          <w:sz w:val="22"/>
          <w:highlight w:val="none"/>
          <w14:textFill>
            <w14:solidFill>
              <w14:schemeClr w14:val="tx1"/>
            </w14:solidFill>
          </w14:textFill>
        </w:rPr>
        <w:t xml:space="preserve">苏采云</w:t>
      </w:r>
      <w:r>
        <w:rPr>
          <w:rFonts w:hint="eastAsia" w:ascii="宋体" w:cs="宋体"/>
          <w:b/>
          <w:bCs/>
          <w:color w:val="000000" w:themeColor="text1"/>
          <w:sz w:val="22"/>
          <w:highlight w:val="none"/>
          <w14:textFill>
            <w14:solidFill>
              <w14:schemeClr w14:val="tx1"/>
            </w14:solidFill>
          </w14:textFill>
        </w:rPr>
        <w:t xml:space="preserve">”</w:t>
      </w:r>
      <w:r>
        <w:rPr>
          <w:rFonts w:hint="eastAsia" w:ascii="宋体" w:hAnsi="宋体" w:cs="宋体"/>
          <w:b/>
          <w:bCs/>
          <w:color w:val="000000" w:themeColor="text1"/>
          <w:sz w:val="22"/>
          <w:highlight w:val="none"/>
          <w14:textFill>
            <w14:solidFill>
              <w14:schemeClr w14:val="tx1"/>
            </w14:solidFill>
          </w14:textFill>
        </w:rPr>
        <w:t xml:space="preserve">系统（网址：</w:t>
      </w:r>
      <w:r>
        <w:rPr>
          <w:rFonts w:ascii="宋体" w:hAnsi="宋体" w:cs="宋体"/>
          <w:b/>
          <w:bCs/>
          <w:color w:val="000000" w:themeColor="text1"/>
          <w:sz w:val="22"/>
          <w:highlight w:val="none"/>
          <w14:textFill>
            <w14:solidFill>
              <w14:schemeClr w14:val="tx1"/>
            </w14:solidFill>
          </w14:textFill>
        </w:rPr>
        <w:t xml:space="preserve">http://jszfcg.jsczt.cn/</w:t>
      </w:r>
      <w:r>
        <w:rPr>
          <w:rFonts w:hint="eastAsia" w:ascii="宋体" w:hAnsi="宋体" w:cs="宋体"/>
          <w:b/>
          <w:bCs/>
          <w:color w:val="000000" w:themeColor="text1"/>
          <w:sz w:val="22"/>
          <w:highlight w:val="none"/>
          <w14:textFill>
            <w14:solidFill>
              <w14:schemeClr w14:val="tx1"/>
            </w14:solidFill>
          </w14:textFill>
        </w:rPr>
        <w:t xml:space="preserve">）</w:t>
      </w:r>
      <w:r>
        <w:rPr>
          <w:rFonts w:hint="eastAsia" w:ascii="宋体" w:cs="宋体"/>
          <w:b/>
          <w:bCs/>
          <w:color w:val="000000" w:themeColor="text1"/>
          <w:sz w:val="22"/>
          <w:highlight w:val="none"/>
          <w14:textFill>
            <w14:solidFill>
              <w14:schemeClr w14:val="tx1"/>
            </w14:solidFill>
          </w14:textFill>
        </w:rPr>
        <w:t xml:space="preserve">“</w:t>
      </w:r>
      <w:r>
        <w:rPr>
          <w:rFonts w:hint="eastAsia" w:ascii="宋体" w:hAnsi="宋体" w:cs="宋体"/>
          <w:b/>
          <w:bCs/>
          <w:color w:val="000000" w:themeColor="text1"/>
          <w:sz w:val="22"/>
          <w:highlight w:val="none"/>
          <w14:textFill>
            <w14:solidFill>
              <w14:schemeClr w14:val="tx1"/>
            </w14:solidFill>
          </w14:textFill>
        </w:rPr>
        <w:t xml:space="preserve">开标大厅</w:t>
      </w:r>
      <w:r>
        <w:rPr>
          <w:rFonts w:hint="eastAsia" w:ascii="宋体" w:cs="宋体"/>
          <w:b/>
          <w:bCs/>
          <w:color w:val="000000" w:themeColor="text1"/>
          <w:sz w:val="22"/>
          <w:highlight w:val="none"/>
          <w14:textFill>
            <w14:solidFill>
              <w14:schemeClr w14:val="tx1"/>
            </w14:solidFill>
          </w14:textFill>
        </w:rPr>
        <w:t xml:space="preserve">”</w:t>
      </w:r>
      <w:r>
        <w:rPr>
          <w:rFonts w:ascii="仿宋" w:hAnsi="仿宋" w:eastAsia="仿宋" w:cs="仿宋"/>
          <w:color w:val="000000" w:themeColor="text1"/>
          <w:sz w:val="28"/>
          <w:highlight w:val="none"/>
          <w14:textFill>
            <w14:solidFill>
              <w14:schemeClr w14:val="tx1"/>
            </w14:solidFill>
          </w14:textFill>
        </w:rPr>
        <w:t xml:space="preserve"> </w:t>
      </w:r>
      <w:r/>
    </w:p>
    <w:p>
      <w:pPr>
        <w:pStyle w:val="848"/>
        <w:spacing w:before="260" w:after="260" w:line="360" w:lineRule="auto"/>
        <w:rPr>
          <w:color w:val="000000" w:themeColor="text1"/>
          <w:highlight w:val="none"/>
          <w14:textFill>
            <w14:solidFill>
              <w14:schemeClr w14:val="tx1"/>
            </w14:solidFill>
          </w14:textFill>
        </w:rPr>
      </w:pPr>
      <w:r/>
      <w:bookmarkStart w:id="14" w:name="_Toc23284"/>
      <w:r/>
      <w:bookmarkStart w:id="15" w:name="_Toc1239"/>
      <w:r>
        <w:rPr>
          <w:rFonts w:hint="eastAsia" w:ascii="宋体" w:hAnsi="宋体" w:cs="宋体"/>
          <w:b/>
          <w:bCs/>
          <w:color w:val="000000" w:themeColor="text1"/>
          <w:sz w:val="21"/>
          <w:szCs w:val="21"/>
          <w:highlight w:val="none"/>
          <w14:textFill>
            <w14:solidFill>
              <w14:schemeClr w14:val="tx1"/>
            </w14:solidFill>
          </w14:textFill>
        </w:rPr>
        <w:t xml:space="preserve">五、公告期限</w:t>
      </w:r>
      <w:bookmarkEnd w:id="14"/>
      <w:r/>
      <w:bookmarkEnd w:id="15"/>
      <w:r/>
      <w:r/>
    </w:p>
    <w:p>
      <w:pPr>
        <w:ind w:firstLine="420"/>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招标公告及招标文件公告期限为自本公告发布之日起</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个工作日。</w:t>
      </w:r>
      <w:r/>
    </w:p>
    <w:p>
      <w:pPr>
        <w:pStyle w:val="848"/>
        <w:spacing w:before="260" w:after="260" w:line="360" w:lineRule="auto"/>
        <w:rPr>
          <w:color w:val="000000" w:themeColor="text1"/>
          <w:highlight w:val="none"/>
          <w14:textFill>
            <w14:solidFill>
              <w14:schemeClr w14:val="tx1"/>
            </w14:solidFill>
          </w14:textFill>
        </w:rPr>
      </w:pPr>
      <w:r/>
      <w:bookmarkStart w:id="16" w:name="_Toc28106"/>
      <w:r/>
      <w:bookmarkStart w:id="17" w:name="_Toc4016"/>
      <w:r>
        <w:rPr>
          <w:rFonts w:hint="eastAsia" w:ascii="宋体" w:hAnsi="宋体" w:cs="宋体"/>
          <w:b/>
          <w:bCs/>
          <w:color w:val="000000" w:themeColor="text1"/>
          <w:sz w:val="21"/>
          <w:szCs w:val="21"/>
          <w:highlight w:val="none"/>
          <w14:textFill>
            <w14:solidFill>
              <w14:schemeClr w14:val="tx1"/>
            </w14:solidFill>
          </w14:textFill>
        </w:rPr>
        <w:t xml:space="preserve">六、其他补充事宜</w:t>
      </w:r>
      <w:bookmarkEnd w:id="16"/>
      <w:r/>
      <w:bookmarkEnd w:id="17"/>
      <w:r/>
      <w:r/>
    </w:p>
    <w:p>
      <w:pPr>
        <w:ind w:firstLine="525"/>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w:t>
      </w:r>
      <w:r/>
    </w:p>
    <w:p>
      <w:pPr>
        <w:pStyle w:val="848"/>
        <w:spacing w:before="260" w:after="260" w:line="360" w:lineRule="auto"/>
        <w:rPr>
          <w:color w:val="000000" w:themeColor="text1"/>
          <w:highlight w:val="none"/>
          <w14:textFill>
            <w14:solidFill>
              <w14:schemeClr w14:val="tx1"/>
            </w14:solidFill>
          </w14:textFill>
        </w:rPr>
      </w:pPr>
      <w:r/>
      <w:bookmarkStart w:id="18" w:name="_Toc14296"/>
      <w:r/>
      <w:bookmarkStart w:id="19" w:name="_Toc443"/>
      <w:r>
        <w:rPr>
          <w:rFonts w:hint="eastAsia" w:ascii="宋体" w:hAnsi="宋体" w:cs="宋体"/>
          <w:b/>
          <w:bCs/>
          <w:color w:val="000000" w:themeColor="text1"/>
          <w:sz w:val="21"/>
          <w:szCs w:val="21"/>
          <w:highlight w:val="none"/>
          <w14:textFill>
            <w14:solidFill>
              <w14:schemeClr w14:val="tx1"/>
            </w14:solidFill>
          </w14:textFill>
        </w:rPr>
        <w:t xml:space="preserve">七、凡对本次采购提出询问，请按以下方式联系。</w:t>
      </w:r>
      <w:bookmarkEnd w:id="18"/>
      <w:r/>
      <w:bookmarkEnd w:id="19"/>
      <w:r/>
      <w:r/>
    </w:p>
    <w:p>
      <w:pPr>
        <w:ind w:firstLine="420"/>
        <w:spacing w:line="360" w:lineRule="auto"/>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采购人信息</w:t>
      </w:r>
      <w:r/>
    </w:p>
    <w:p>
      <w:pPr>
        <w:ind w:firstLine="420"/>
        <w:spacing w:line="360" w:lineRule="auto"/>
        <w:rPr>
          <w:rFonts w:asci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单位名称：扬州市江都区大桥镇人民政府</w:t>
      </w:r>
      <w:r/>
    </w:p>
    <w:p>
      <w:pPr>
        <w:ind w:firstLine="420"/>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单位地址：扬州市江都区大桥镇东园路</w:t>
      </w:r>
      <w:r>
        <w:rPr>
          <w:rFonts w:ascii="宋体" w:hAnsi="宋体" w:cs="宋体"/>
          <w:color w:val="000000" w:themeColor="text1"/>
          <w:sz w:val="22"/>
          <w:highlight w:val="none"/>
          <w14:textFill>
            <w14:solidFill>
              <w14:schemeClr w14:val="tx1"/>
            </w14:solidFill>
          </w14:textFill>
        </w:rPr>
        <w:t xml:space="preserve">19</w:t>
      </w:r>
      <w:r>
        <w:rPr>
          <w:rFonts w:hint="eastAsia" w:ascii="宋体" w:hAnsi="宋体" w:cs="宋体"/>
          <w:color w:val="000000" w:themeColor="text1"/>
          <w:sz w:val="22"/>
          <w:highlight w:val="none"/>
          <w14:textFill>
            <w14:solidFill>
              <w14:schemeClr w14:val="tx1"/>
            </w14:solidFill>
          </w14:textFill>
        </w:rPr>
        <w:t xml:space="preserve">号</w:t>
      </w:r>
      <w:r/>
    </w:p>
    <w:p>
      <w:pPr>
        <w:ind w:firstLine="42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郭小峰</w:t>
      </w:r>
      <w:r/>
    </w:p>
    <w:p>
      <w:pPr>
        <w:ind w:firstLine="420"/>
        <w:spacing w:line="360" w:lineRule="auto"/>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联系方式：</w:t>
      </w:r>
      <w:r>
        <w:rPr>
          <w:rFonts w:hint="eastAsia" w:ascii="宋体" w:hAnsi="宋体" w:cs="宋体"/>
          <w:color w:val="000000" w:themeColor="text1"/>
          <w:highlight w:val="none"/>
          <w:lang w:val="en-US" w:eastAsia="zh-CN"/>
          <w14:textFill>
            <w14:solidFill>
              <w14:schemeClr w14:val="tx1"/>
            </w14:solidFill>
          </w14:textFill>
        </w:rPr>
        <w:t xml:space="preserve">15895711186</w:t>
      </w:r>
      <w:r/>
    </w:p>
    <w:p>
      <w:pPr>
        <w:ind w:firstLine="420"/>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采购代理机构信息</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称：苏合邦筑工程咨询集团股份有限公司</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　　址：浦江路</w:t>
      </w:r>
      <w:r>
        <w:rPr>
          <w:rFonts w:ascii="宋体" w:hAnsi="宋体" w:cs="宋体"/>
          <w:color w:val="000000" w:themeColor="text1"/>
          <w:highlight w:val="none"/>
          <w14:textFill>
            <w14:solidFill>
              <w14:schemeClr w14:val="tx1"/>
            </w14:solidFill>
          </w14:textFill>
        </w:rPr>
        <w:t xml:space="preserve">439</w:t>
      </w:r>
      <w:r>
        <w:rPr>
          <w:rFonts w:hint="eastAsia" w:ascii="宋体" w:hAnsi="宋体" w:cs="宋体"/>
          <w:color w:val="000000" w:themeColor="text1"/>
          <w:highlight w:val="none"/>
          <w14:textFill>
            <w14:solidFill>
              <w14:schemeClr w14:val="tx1"/>
            </w14:solidFill>
          </w14:textFill>
        </w:rPr>
        <w:t xml:space="preserve">号园林大厦</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楼</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联系人：吴宇</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联系方式：</w:t>
      </w:r>
      <w:r>
        <w:rPr>
          <w:rFonts w:ascii="宋体" w:hAnsi="宋体" w:cs="宋体"/>
          <w:color w:val="000000" w:themeColor="text1"/>
          <w:highlight w:val="none"/>
          <w14:textFill>
            <w14:solidFill>
              <w14:schemeClr w14:val="tx1"/>
            </w14:solidFill>
          </w14:textFill>
        </w:rPr>
        <w:t xml:space="preserve">0514-80335676</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箱：</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"mailto:531356327@qq.com" </w:instrText>
      </w:r>
      <w:r>
        <w:rPr>
          <w:color w:val="000000" w:themeColor="text1"/>
          <w:highlight w:val="none"/>
          <w14:textFill>
            <w14:solidFill>
              <w14:schemeClr w14:val="tx1"/>
            </w14:solidFill>
          </w14:textFill>
        </w:rPr>
        <w:fldChar w:fldCharType="separate"/>
      </w:r>
      <w:r>
        <w:rPr>
          <w:rStyle w:val="842"/>
          <w:rFonts w:ascii="宋体" w:hAnsi="宋体" w:cs="宋体"/>
          <w:color w:val="000000" w:themeColor="text1"/>
          <w:highlight w:val="none"/>
          <w14:textFill>
            <w14:solidFill>
              <w14:schemeClr w14:val="tx1"/>
            </w14:solidFill>
          </w14:textFill>
        </w:rPr>
        <w:t xml:space="preserve">531356327@qq.com</w:t>
      </w:r>
      <w:r>
        <w:rPr>
          <w:rStyle w:val="842"/>
          <w:rFonts w:ascii="宋体" w:hAnsi="宋体" w:cs="宋体"/>
          <w:color w:val="000000" w:themeColor="text1"/>
          <w:highlight w:val="none"/>
          <w14:textFill>
            <w14:solidFill>
              <w14:schemeClr w14:val="tx1"/>
            </w14:solidFill>
          </w14:textFill>
        </w:rPr>
        <w:fldChar w:fldCharType="end"/>
      </w:r>
      <w:r/>
    </w:p>
    <w:p>
      <w:pPr>
        <w:spacing w:line="360" w:lineRule="auto"/>
        <w:tabs>
          <w:tab w:val="left" w:pos="266" w:leader="none"/>
        </w:tabs>
        <w:rPr>
          <w:rFonts w:asci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八、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w:t>
      </w:r>
      <w:r>
        <w:rPr>
          <w:rFonts w:hint="eastAsia" w:asci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中征应收账款融资服务平台（</w:t>
      </w:r>
      <w:r>
        <w:rPr>
          <w:rFonts w:ascii="宋体" w:hAnsi="宋体" w:cs="宋体"/>
          <w:b/>
          <w:bCs/>
          <w:color w:val="000000" w:themeColor="text1"/>
          <w:szCs w:val="21"/>
          <w:highlight w:val="none"/>
          <w14:textFill>
            <w14:solidFill>
              <w14:schemeClr w14:val="tx1"/>
            </w14:solidFill>
          </w14:textFill>
        </w:rPr>
        <w:t xml:space="preserve">https://www.crcrfsp.com</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向参与政府采购融资业务的金融机构申请线上融资，相关事宜可向中国人民银行江都支行咨询，联系电话：</w:t>
      </w:r>
      <w:r>
        <w:rPr>
          <w:rFonts w:ascii="宋体" w:hAnsi="宋体" w:cs="宋体"/>
          <w:b/>
          <w:bCs/>
          <w:color w:val="000000" w:themeColor="text1"/>
          <w:szCs w:val="21"/>
          <w:highlight w:val="none"/>
          <w14:textFill>
            <w14:solidFill>
              <w14:schemeClr w14:val="tx1"/>
            </w14:solidFill>
          </w14:textFill>
        </w:rPr>
        <w:t xml:space="preserve">0514-86554660</w:t>
      </w:r>
      <w:r>
        <w:rPr>
          <w:rFonts w:hint="eastAsia" w:ascii="宋体" w:hAnsi="宋体" w:cs="宋体"/>
          <w:b/>
          <w:bCs/>
          <w:color w:val="000000" w:themeColor="text1"/>
          <w:szCs w:val="21"/>
          <w:highlight w:val="none"/>
          <w14:textFill>
            <w14:solidFill>
              <w14:schemeClr w14:val="tx1"/>
            </w14:solidFill>
          </w14:textFill>
        </w:rPr>
        <w:t xml:space="preserve">。</w:t>
      </w:r>
      <w:r/>
    </w:p>
    <w:p>
      <w:pPr>
        <w:spacing w:line="360" w:lineRule="auto"/>
        <w:rPr>
          <w:rFonts w:asci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九、其他</w:t>
      </w:r>
      <w:r/>
    </w:p>
    <w:p>
      <w:pPr>
        <w:ind w:firstLine="422"/>
        <w:spacing w:line="360" w:lineRule="auto"/>
        <w:shd w:val="clear" w:color="ffffff" w:fill="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14:textFill>
            <w14:solidFill>
              <w14:schemeClr w14:val="tx1"/>
            </w14:solidFill>
          </w14:textFill>
        </w:rPr>
        <w:t xml:space="preserve">本次采购采用</w:t>
      </w:r>
      <w:r>
        <w:rPr>
          <w:rFonts w:hint="eastAsia" w:asci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政府采购管理交易系统（苏采云）</w:t>
      </w:r>
      <w:r>
        <w:rPr>
          <w:rFonts w:hint="eastAsia" w:asci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spacing w:line="360" w:lineRule="auto"/>
        <w:shd w:val="clear" w:color="ffffff" w:fill="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供应商如确定参加投标，可自行下载招标文件及有关资料，按照《操作手册》进行注册，领取</w:t>
      </w:r>
      <w:r>
        <w:rPr>
          <w:rFonts w:ascii="宋体" w:hAnsi="宋体" w:cs="宋体"/>
          <w:b/>
          <w:bCs/>
          <w:color w:val="000000" w:themeColor="text1"/>
          <w:szCs w:val="21"/>
          <w:highlight w:val="none"/>
          <w14:textFill>
            <w14:solidFill>
              <w14:schemeClr w14:val="tx1"/>
            </w14:solidFill>
          </w14:textFill>
        </w:rPr>
        <w:t xml:space="preserve">CA</w:t>
      </w:r>
      <w:r>
        <w:rPr>
          <w:rFonts w:hint="eastAsia" w:ascii="宋体" w:hAnsi="宋体" w:cs="宋体"/>
          <w:b/>
          <w:bCs/>
          <w:color w:val="000000" w:themeColor="text1"/>
          <w:szCs w:val="21"/>
          <w:highlight w:val="none"/>
          <w14:textFill>
            <w14:solidFill>
              <w14:schemeClr w14:val="tx1"/>
            </w14:solidFill>
          </w14:textFill>
        </w:rPr>
        <w:t xml:space="preserve">和办理电子签章，并按《操作手册》要求制作、上传电子投标文件，技术支持联系方式：</w:t>
      </w:r>
      <w:r>
        <w:rPr>
          <w:rFonts w:ascii="宋体" w:hAnsi="宋体" w:cs="宋体"/>
          <w:b/>
          <w:bCs/>
          <w:color w:val="000000" w:themeColor="text1"/>
          <w:szCs w:val="21"/>
          <w:highlight w:val="none"/>
          <w14:textFill>
            <w14:solidFill>
              <w14:schemeClr w14:val="tx1"/>
            </w14:solidFill>
          </w14:textFill>
        </w:rPr>
        <w:t xml:space="preserve">13813140731</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2"/>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潜在投标人对招标文件项目需求部分的询问、质疑请向采购人提出，由采购人负责答复。</w:t>
      </w:r>
      <w:r/>
    </w:p>
    <w:p>
      <w:pPr>
        <w:ind w:firstLine="420"/>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本次招标不收取投标保证金。</w:t>
      </w:r>
      <w:r/>
    </w:p>
    <w:p>
      <w:pPr>
        <w:ind w:firstLine="420"/>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5.</w:t>
      </w:r>
      <w:r>
        <w:rPr>
          <w:rFonts w:hint="eastAsia" w:ascii="宋体" w:hAnsi="宋体" w:cs="宋体"/>
          <w:b/>
          <w:bCs/>
          <w:color w:val="000000" w:themeColor="text1"/>
          <w:szCs w:val="21"/>
          <w:highlight w:val="none"/>
          <w14:textFill>
            <w14:solidFill>
              <w14:schemeClr w14:val="tx1"/>
            </w14:solidFill>
          </w14:textFill>
        </w:rPr>
        <w:t xml:space="preserve">有关本次招标的事项若存在变动或修改，敬请及时关注</w:t>
      </w:r>
      <w:r>
        <w:rPr>
          <w:rFonts w:hint="eastAsia" w:asci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扬州市政府采购网</w:t>
      </w:r>
      <w:r>
        <w:rPr>
          <w:rFonts w:hint="eastAsia" w:asci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江苏省政府采购网</w:t>
      </w:r>
      <w:r>
        <w:rPr>
          <w:rFonts w:hint="eastAsia" w:asci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发布的信息。</w:t>
      </w:r>
      <w:r/>
    </w:p>
    <w:p>
      <w:pPr>
        <w:ind w:firstLine="422"/>
        <w:spacing w:line="360" w:lineRule="auto"/>
        <w:rPr>
          <w:rFonts w:ascii="宋体" w:cs="宋体"/>
          <w:b/>
          <w:bCs/>
          <w:i/>
          <w:iCs/>
          <w:color w:val="000000" w:themeColor="text1"/>
          <w:szCs w:val="21"/>
          <w:highlight w:val="none"/>
          <w:u w:val="single"/>
          <w14:textFill>
            <w14:solidFill>
              <w14:schemeClr w14:val="tx1"/>
            </w14:solidFill>
          </w14:textFill>
        </w:rPr>
      </w:pPr>
      <w:r>
        <w:rPr>
          <w:rFonts w:ascii="宋体" w:hAnsi="宋体" w:cs="宋体"/>
          <w:b/>
          <w:bCs/>
          <w:i/>
          <w:iCs/>
          <w:color w:val="000000" w:themeColor="text1"/>
          <w:szCs w:val="21"/>
          <w:highlight w:val="none"/>
          <w:u w:val="single"/>
          <w14:textFill>
            <w14:solidFill>
              <w14:schemeClr w14:val="tx1"/>
            </w14:solidFill>
          </w14:textFill>
        </w:rPr>
        <w:t xml:space="preserve">6.</w:t>
      </w:r>
      <w:r>
        <w:rPr>
          <w:rFonts w:hint="eastAsia" w:ascii="宋体" w:hAnsi="宋体" w:cs="宋体"/>
          <w:b/>
          <w:bCs/>
          <w:i/>
          <w:iCs/>
          <w:color w:val="000000" w:themeColor="text1"/>
          <w:szCs w:val="21"/>
          <w:highlight w:val="none"/>
          <w:u w:val="single"/>
          <w14:textFill>
            <w14:solidFill>
              <w14:schemeClr w14:val="tx1"/>
            </w14:solidFill>
          </w14:textFill>
        </w:rPr>
        <w:t xml:space="preserve">本项目招标文件中所有斜体下划线部分为实质性条款，如不满足，则为无效投标。</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7"/>
        <w:jc w:val="center"/>
        <w:spacing w:line="360" w:lineRule="auto"/>
        <w:rPr>
          <w:rFonts w:ascii="宋体"/>
          <w:color w:val="000000" w:themeColor="text1"/>
          <w:sz w:val="36"/>
          <w:szCs w:val="36"/>
          <w:highlight w:val="none"/>
          <w14:textFill>
            <w14:solidFill>
              <w14:schemeClr w14:val="tx1"/>
            </w14:solidFill>
          </w14:textFill>
        </w:rPr>
      </w:pPr>
      <w:r>
        <w:rPr>
          <w:rFonts w:ascii="宋体"/>
          <w:color w:val="000000" w:themeColor="text1"/>
          <w:sz w:val="36"/>
          <w:szCs w:val="36"/>
          <w:highlight w:val="none"/>
          <w14:textFill>
            <w14:solidFill>
              <w14:schemeClr w14:val="tx1"/>
            </w14:solidFill>
          </w14:textFill>
        </w:rPr>
        <w:br w:type="page" w:clear="all"/>
      </w:r>
      <w:bookmarkStart w:id="20" w:name="_Toc11398"/>
      <w:r>
        <w:rPr>
          <w:rFonts w:hint="eastAsia" w:ascii="宋体" w:hAnsi="宋体"/>
          <w:color w:val="000000" w:themeColor="text1"/>
          <w:sz w:val="36"/>
          <w:szCs w:val="36"/>
          <w:highlight w:val="none"/>
          <w14:textFill>
            <w14:solidFill>
              <w14:schemeClr w14:val="tx1"/>
            </w14:solidFill>
          </w14:textFill>
        </w:rPr>
        <w:t xml:space="preserve">第二章</w:t>
      </w:r>
      <w:r>
        <w:rPr>
          <w:rFonts w:ascii="宋体" w:hAnsi="宋体"/>
          <w:color w:val="000000" w:themeColor="text1"/>
          <w:sz w:val="36"/>
          <w:szCs w:val="36"/>
          <w:highlight w:val="none"/>
          <w14:textFill>
            <w14:solidFill>
              <w14:schemeClr w14:val="tx1"/>
            </w14:solidFill>
          </w14:textFill>
        </w:rPr>
        <w:t xml:space="preserve"> </w:t>
      </w:r>
      <w:r>
        <w:rPr>
          <w:rFonts w:hint="eastAsia" w:ascii="宋体" w:hAnsi="宋体"/>
          <w:color w:val="000000" w:themeColor="text1"/>
          <w:sz w:val="36"/>
          <w:szCs w:val="36"/>
          <w:highlight w:val="none"/>
          <w14:textFill>
            <w14:solidFill>
              <w14:schemeClr w14:val="tx1"/>
            </w14:solidFill>
          </w14:textFill>
        </w:rPr>
        <w:t xml:space="preserve">投标人须知</w:t>
      </w:r>
      <w:bookmarkEnd w:id="1"/>
      <w:r/>
      <w:bookmarkEnd w:id="20"/>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w:t>
      </w:r>
      <w:r>
        <w:rPr>
          <w:rFonts w:hint="eastAsia" w:ascii="宋体" w:hAnsi="宋体"/>
          <w:b/>
          <w:color w:val="000000" w:themeColor="text1"/>
          <w:szCs w:val="21"/>
          <w:highlight w:val="none"/>
          <w14:textFill>
            <w14:solidFill>
              <w14:schemeClr w14:val="tx1"/>
            </w14:solidFill>
          </w14:textFill>
        </w:rPr>
        <w:t xml:space="preserve">、招标方式</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1.1 </w:t>
      </w:r>
      <w:r>
        <w:rPr>
          <w:rFonts w:hint="eastAsia" w:ascii="宋体" w:hAnsi="宋体"/>
          <w:bCs/>
          <w:color w:val="000000" w:themeColor="text1"/>
          <w:szCs w:val="21"/>
          <w:highlight w:val="none"/>
          <w14:textFill>
            <w14:solidFill>
              <w14:schemeClr w14:val="tx1"/>
            </w14:solidFill>
          </w14:textFill>
        </w:rPr>
        <w:t xml:space="preserve">本次招标采取公开招标方式，本招标文件仅适用于</w:t>
      </w:r>
      <w:r>
        <w:rPr>
          <w:rFonts w:hint="eastAsia"/>
          <w:color w:val="000000" w:themeColor="text1"/>
          <w:highlight w:val="none"/>
          <w:lang w:eastAsia="zh-CN"/>
          <w14:textFill>
            <w14:solidFill>
              <w14:schemeClr w14:val="tx1"/>
            </w14:solidFill>
          </w14:textFill>
        </w:rPr>
        <w:t xml:space="preserve">JSZC-3210</w:t>
      </w:r>
      <w:bookmarkStart w:id="65" w:name="_GoBack"/>
      <w:r>
        <w:rPr>
          <w:rFonts w:hint="eastAsia"/>
          <w:color w:val="000000" w:themeColor="text1"/>
          <w:highlight w:val="none"/>
          <w:lang w:eastAsia="zh-CN"/>
          <w14:textFill>
            <w14:solidFill>
              <w14:schemeClr w14:val="tx1"/>
            </w14:solidFill>
          </w14:textFill>
        </w:rPr>
        <w:t xml:space="preserve">12</w:t>
      </w:r>
      <w:bookmarkEnd w:id="65"/>
      <w:r>
        <w:rPr>
          <w:rFonts w:hint="eastAsia"/>
          <w:color w:val="000000" w:themeColor="text1"/>
          <w:highlight w:val="none"/>
          <w:lang w:eastAsia="zh-CN"/>
          <w14:textFill>
            <w14:solidFill>
              <w14:schemeClr w14:val="tx1"/>
            </w14:solidFill>
          </w14:textFill>
        </w:rPr>
        <w:t xml:space="preserve">-SHBZ-G2025-0017</w:t>
      </w:r>
      <w:r>
        <w:rPr>
          <w:rFonts w:hint="eastAsia" w:ascii="宋体" w:hAnsi="宋体"/>
          <w:bCs/>
          <w:color w:val="000000" w:themeColor="text1"/>
          <w:szCs w:val="21"/>
          <w:highlight w:val="none"/>
          <w14:textFill>
            <w14:solidFill>
              <w14:schemeClr w14:val="tx1"/>
            </w14:solidFill>
          </w14:textFill>
        </w:rPr>
        <w:t xml:space="preserve">号项目。</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、投标人</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2.1 </w:t>
      </w:r>
      <w:r>
        <w:rPr>
          <w:rFonts w:hint="eastAsia" w:ascii="宋体" w:hAnsi="宋体"/>
          <w:bCs/>
          <w:color w:val="000000" w:themeColor="text1"/>
          <w:szCs w:val="21"/>
          <w:highlight w:val="none"/>
          <w14:textFill>
            <w14:solidFill>
              <w14:schemeClr w14:val="tx1"/>
            </w14:solidFill>
          </w14:textFill>
        </w:rPr>
        <w:t xml:space="preserve">本招标文件中“供应商”，即“投标人”，是指参加投标竞争，并符合招标文件规定资格条件的法人、其他组织或者自然人。</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2.2</w:t>
      </w:r>
      <w:r>
        <w:rPr>
          <w:rFonts w:hint="eastAsia" w:ascii="宋体" w:hAnsi="宋体"/>
          <w:bCs/>
          <w:color w:val="000000" w:themeColor="text1"/>
          <w:szCs w:val="21"/>
          <w:highlight w:val="none"/>
          <w14:textFill>
            <w14:solidFill>
              <w14:schemeClr w14:val="tx1"/>
            </w14:solidFill>
          </w14:textFill>
        </w:rPr>
        <w:t xml:space="preserve">合格的投标人</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2.2.1 </w:t>
      </w:r>
      <w:r>
        <w:rPr>
          <w:rFonts w:hint="eastAsia" w:ascii="宋体" w:hAnsi="宋体"/>
          <w:bCs/>
          <w:color w:val="000000" w:themeColor="text1"/>
          <w:szCs w:val="21"/>
          <w:highlight w:val="none"/>
          <w14:textFill>
            <w14:solidFill>
              <w14:schemeClr w14:val="tx1"/>
            </w14:solidFill>
          </w14:textFill>
        </w:rPr>
        <w:t xml:space="preserve">满足招标公告中供应商的资格条件要求的规定。</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2.2.2 </w:t>
      </w:r>
      <w:r>
        <w:rPr>
          <w:rFonts w:hint="eastAsia" w:ascii="宋体" w:hAnsi="宋体"/>
          <w:bCs/>
          <w:color w:val="000000" w:themeColor="text1"/>
          <w:szCs w:val="21"/>
          <w:highlight w:val="none"/>
          <w14:textFill>
            <w14:solidFill>
              <w14:schemeClr w14:val="tx1"/>
            </w14:solidFill>
          </w14:textFill>
        </w:rPr>
        <w:t xml:space="preserve">满足本文件实质性条款的规定。</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3</w:t>
      </w:r>
      <w:r>
        <w:rPr>
          <w:rFonts w:hint="eastAsia" w:ascii="宋体" w:hAnsi="宋体"/>
          <w:b/>
          <w:color w:val="000000" w:themeColor="text1"/>
          <w:szCs w:val="21"/>
          <w:highlight w:val="none"/>
          <w14:textFill>
            <w14:solidFill>
              <w14:schemeClr w14:val="tx1"/>
            </w14:solidFill>
          </w14:textFill>
        </w:rPr>
        <w:t xml:space="preserve">、适用法律</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3.1 </w:t>
      </w:r>
      <w:r>
        <w:rPr>
          <w:rFonts w:hint="eastAsia" w:ascii="宋体" w:hAnsi="宋体"/>
          <w:bCs/>
          <w:color w:val="000000" w:themeColor="text1"/>
          <w:szCs w:val="21"/>
          <w:highlight w:val="none"/>
          <w14:textFill>
            <w14:solidFill>
              <w14:schemeClr w14:val="tx1"/>
            </w14:solidFill>
          </w14:textFill>
        </w:rPr>
        <w:t xml:space="preserve">本次招标及由此产生的合同受中华人民共和国有关的法律法规制约和保护。</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14:textFill>
            <w14:solidFill>
              <w14:schemeClr w14:val="tx1"/>
            </w14:solidFill>
          </w14:textFill>
        </w:rPr>
        <w:t xml:space="preserve">、投标费用</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4.1 </w:t>
      </w:r>
      <w:r>
        <w:rPr>
          <w:rFonts w:hint="eastAsia" w:ascii="宋体" w:hAnsi="宋体"/>
          <w:bCs/>
          <w:color w:val="000000" w:themeColor="text1"/>
          <w:szCs w:val="21"/>
          <w:highlight w:val="none"/>
          <w14:textFill>
            <w14:solidFill>
              <w14:schemeClr w14:val="tx1"/>
            </w14:solidFill>
          </w14:textFill>
        </w:rPr>
        <w:t xml:space="preserve">投标人应自行承担所有与参加投标有关的费用，无论投标过程中的做法和结果如何，苏合邦筑工程咨询集团股份有限公司在任何情况下均无义务和责任承担这些费用。</w:t>
      </w:r>
      <w:r/>
    </w:p>
    <w:p>
      <w:pPr>
        <w:ind w:firstLine="420"/>
        <w:spacing w:line="440" w:lineRule="exact"/>
        <w:rPr>
          <w:rFonts w:hint="eastAsia" w:ascii="宋体" w:hAnsi="宋体" w:cs="宋体"/>
          <w:color w:val="000000" w:themeColor="text1"/>
          <w:sz w:val="22"/>
          <w:szCs w:val="22"/>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4.2  </w:t>
      </w:r>
      <w:r>
        <w:rPr>
          <w:rFonts w:hint="eastAsia" w:ascii="宋体" w:hAnsi="宋体" w:cs="宋体"/>
          <w:color w:val="000000" w:themeColor="text1"/>
          <w:sz w:val="22"/>
          <w:highlight w:val="none"/>
          <w14:textFill>
            <w14:solidFill>
              <w14:schemeClr w14:val="tx1"/>
            </w14:solidFill>
          </w14:textFill>
        </w:rPr>
        <w:t xml:space="preserve">招标代理费：本招标文件约定由中标单位支付招标代理服务费，计取金额按照苏招协</w:t>
      </w:r>
      <w:r/>
    </w:p>
    <w:p>
      <w:pPr>
        <w:ind w:firstLine="420"/>
        <w:spacing w:line="440" w:lineRule="exact"/>
        <w:rPr>
          <w:rFonts w:ascii="宋体"/>
          <w:b/>
          <w:bCs/>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w:t>
      </w:r>
      <w:r>
        <w:rPr>
          <w:rFonts w:ascii="宋体" w:hAnsi="宋体" w:cs="宋体"/>
          <w:color w:val="000000" w:themeColor="text1"/>
          <w:sz w:val="22"/>
          <w:highlight w:val="none"/>
          <w14:textFill>
            <w14:solidFill>
              <w14:schemeClr w14:val="tx1"/>
            </w14:solidFill>
          </w14:textFill>
        </w:rPr>
        <w:t xml:space="preserve">2022</w:t>
      </w:r>
      <w:r>
        <w:rPr>
          <w:rFonts w:hint="eastAsia" w:ascii="宋体" w:hAnsi="宋体" w:cs="宋体"/>
          <w:color w:val="000000" w:themeColor="text1"/>
          <w:sz w:val="22"/>
          <w:highlight w:val="none"/>
          <w14:textFill>
            <w14:solidFill>
              <w14:schemeClr w14:val="tx1"/>
            </w14:solidFill>
          </w14:textFill>
        </w:rPr>
        <w:t xml:space="preserve">】</w:t>
      </w:r>
      <w:r>
        <w:rPr>
          <w:rFonts w:ascii="宋体" w:hAnsi="宋体" w:cs="宋体"/>
          <w:color w:val="000000" w:themeColor="text1"/>
          <w:sz w:val="22"/>
          <w:highlight w:val="none"/>
          <w14:textFill>
            <w14:solidFill>
              <w14:schemeClr w14:val="tx1"/>
            </w14:solidFill>
          </w14:textFill>
        </w:rPr>
        <w:t xml:space="preserve">002</w:t>
      </w:r>
      <w:r>
        <w:rPr>
          <w:rFonts w:hint="eastAsia" w:ascii="宋体" w:hAnsi="宋体" w:cs="宋体"/>
          <w:color w:val="000000" w:themeColor="text1"/>
          <w:sz w:val="22"/>
          <w:highlight w:val="none"/>
          <w14:textFill>
            <w14:solidFill>
              <w14:schemeClr w14:val="tx1"/>
            </w14:solidFill>
          </w14:textFill>
        </w:rPr>
        <w:t xml:space="preserve">号文规定标准计算。该费用由中标单位在领取中标通知书前，向招标代理机构付清。</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）代理服务费以人民币支付；</w:t>
      </w:r>
      <w:r>
        <w:rPr>
          <w:color w:val="000000" w:themeColor="text1"/>
          <w:highlight w:val="none"/>
          <w14:textFill>
            <w14:solidFill>
              <w14:schemeClr w14:val="tx1"/>
            </w14:solidFill>
          </w14:textFill>
        </w:rPr>
        <w:t xml:space="preserve"> </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）代理服务费一次性以电汇、转账等非现金形式支付；</w:t>
      </w:r>
      <w:r>
        <w:rPr>
          <w:color w:val="000000" w:themeColor="text1"/>
          <w:highlight w:val="none"/>
          <w14:textFill>
            <w14:solidFill>
              <w14:schemeClr w14:val="tx1"/>
            </w14:solidFill>
          </w14:textFill>
        </w:rPr>
        <w:t xml:space="preserve"> </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）招标代理服务费不在投标报价中单列，包含在投标总价中，由中标单位支付给代理机构。</w:t>
      </w:r>
      <w:r>
        <w:rPr>
          <w:color w:val="000000" w:themeColor="text1"/>
          <w:highlight w:val="none"/>
          <w14:textFill>
            <w14:solidFill>
              <w14:schemeClr w14:val="tx1"/>
            </w14:solidFill>
          </w14:textFill>
        </w:rPr>
        <w:t xml:space="preserve"> </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代理单位名称：苏合邦筑工程咨询集团股份有限公司江都分公司</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税</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号：</w:t>
      </w:r>
      <w:r>
        <w:rPr>
          <w:color w:val="000000" w:themeColor="text1"/>
          <w:highlight w:val="none"/>
          <w14:textFill>
            <w14:solidFill>
              <w14:schemeClr w14:val="tx1"/>
            </w14:solidFill>
          </w14:textFill>
        </w:rPr>
        <w:t xml:space="preserve">91321012MA21U2RM24</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户</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行：中国银行股份有限公司扬州新都路支行</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行</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号：</w:t>
      </w:r>
      <w:r>
        <w:rPr>
          <w:color w:val="000000" w:themeColor="text1"/>
          <w:highlight w:val="none"/>
          <w14:textFill>
            <w14:solidFill>
              <w14:schemeClr w14:val="tx1"/>
            </w14:solidFill>
          </w14:textFill>
        </w:rPr>
        <w:t xml:space="preserve">104312501045</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账</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号：</w:t>
      </w:r>
      <w:r>
        <w:rPr>
          <w:color w:val="000000" w:themeColor="text1"/>
          <w:highlight w:val="none"/>
          <w14:textFill>
            <w14:solidFill>
              <w14:schemeClr w14:val="tx1"/>
            </w14:solidFill>
          </w14:textFill>
        </w:rPr>
        <w:t xml:space="preserve">549575531937</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5</w:t>
      </w:r>
      <w:r>
        <w:rPr>
          <w:rFonts w:hint="eastAsia" w:ascii="宋体" w:hAnsi="宋体"/>
          <w:b/>
          <w:color w:val="000000" w:themeColor="text1"/>
          <w:szCs w:val="21"/>
          <w:highlight w:val="none"/>
          <w14:textFill>
            <w14:solidFill>
              <w14:schemeClr w14:val="tx1"/>
            </w14:solidFill>
          </w14:textFill>
        </w:rPr>
        <w:t xml:space="preserve">、招标文件的约束力</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5.1 </w:t>
      </w:r>
      <w:r>
        <w:rPr>
          <w:rFonts w:hint="eastAsia" w:ascii="宋体" w:hAnsi="宋体"/>
          <w:bCs/>
          <w:color w:val="000000" w:themeColor="text1"/>
          <w:szCs w:val="21"/>
          <w:highlight w:val="none"/>
          <w14:textFill>
            <w14:solidFill>
              <w14:schemeClr w14:val="tx1"/>
            </w14:solidFill>
          </w14:textFill>
        </w:rPr>
        <w:t xml:space="preserve">投标人一旦参加本项目采购活动，即被认为接受了本招标文件的规定和约束。</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、招标文件构成</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6.1 </w:t>
      </w:r>
      <w:r>
        <w:rPr>
          <w:rFonts w:hint="eastAsia" w:ascii="宋体" w:hAnsi="宋体"/>
          <w:bCs/>
          <w:color w:val="000000" w:themeColor="text1"/>
          <w:szCs w:val="21"/>
          <w:highlight w:val="none"/>
          <w14:textFill>
            <w14:solidFill>
              <w14:schemeClr w14:val="tx1"/>
            </w14:solidFill>
          </w14:textFill>
        </w:rPr>
        <w:t xml:space="preserve">招标文件有以下部分组成：</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）招标公告</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）投标人须知</w:t>
      </w:r>
      <w:r>
        <w:rPr>
          <w:rFonts w:ascii="宋体"/>
          <w:bCs/>
          <w:color w:val="000000" w:themeColor="text1"/>
          <w:szCs w:val="21"/>
          <w:highlight w:val="none"/>
          <w14:textFill>
            <w14:solidFill>
              <w14:schemeClr w14:val="tx1"/>
            </w14:solidFill>
          </w14:textFill>
        </w:rPr>
        <w:tab/>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）合同条款及格式</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）项目需求</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）评标方法与评标标准</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）投标文件格式</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请仔细检查招标文件是否齐全，如有缺漏请立即与代理机构联系解决。</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6.2 </w:t>
      </w:r>
      <w:r>
        <w:rPr>
          <w:rFonts w:hint="eastAsia" w:ascii="宋体" w:hAnsi="宋体"/>
          <w:bCs/>
          <w:color w:val="000000" w:themeColor="text1"/>
          <w:szCs w:val="21"/>
          <w:highlight w:val="none"/>
          <w14:textFill>
            <w14:solidFill>
              <w14:schemeClr w14:val="tx1"/>
            </w14:solidFill>
          </w14:textFill>
        </w:rPr>
        <w:t xml:space="preserve">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6.3 </w:t>
      </w:r>
      <w:r>
        <w:rPr>
          <w:rFonts w:hint="eastAsia" w:ascii="宋体" w:hAnsi="宋体"/>
          <w:bCs/>
          <w:color w:val="000000" w:themeColor="text1"/>
          <w:szCs w:val="21"/>
          <w:highlight w:val="none"/>
          <w14:textFill>
            <w14:solidFill>
              <w14:schemeClr w14:val="tx1"/>
            </w14:solidFill>
          </w14:textFill>
        </w:rPr>
        <w:t xml:space="preserve">招标文件如果要求供应商提交备选投标方案的，供应商可以提交备选方案；否则，备选方案将被拒绝。</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6.4 </w:t>
      </w:r>
      <w:r>
        <w:rPr>
          <w:rFonts w:hint="eastAsia" w:ascii="宋体" w:hAnsi="宋体"/>
          <w:bCs/>
          <w:color w:val="000000" w:themeColor="text1"/>
          <w:szCs w:val="21"/>
          <w:highlight w:val="none"/>
          <w14:textFill>
            <w14:solidFill>
              <w14:schemeClr w14:val="tx1"/>
            </w14:solidFill>
          </w14:textFill>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7</w:t>
      </w:r>
      <w:r>
        <w:rPr>
          <w:rFonts w:hint="eastAsia" w:ascii="宋体" w:hAnsi="宋体"/>
          <w:b/>
          <w:color w:val="000000" w:themeColor="text1"/>
          <w:szCs w:val="21"/>
          <w:highlight w:val="none"/>
          <w14:textFill>
            <w14:solidFill>
              <w14:schemeClr w14:val="tx1"/>
            </w14:solidFill>
          </w14:textFill>
        </w:rPr>
        <w:t xml:space="preserve">、招标文件的澄清</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7.1</w:t>
      </w:r>
      <w:r>
        <w:rPr>
          <w:rFonts w:hint="eastAsia" w:ascii="宋体" w:hAnsi="宋体"/>
          <w:bCs/>
          <w:color w:val="000000" w:themeColor="text1"/>
          <w:szCs w:val="21"/>
          <w:highlight w:val="none"/>
          <w14:textFill>
            <w14:solidFill>
              <w14:schemeClr w14:val="tx1"/>
            </w14:solidFill>
          </w14:textFill>
        </w:rPr>
        <w:t xml:space="preserve">任何要求对招标文件进行澄清的投标人，应在投标截止日期的十日前按招标公告中的通讯地址，以书面形式通知代理机构。</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8</w:t>
      </w:r>
      <w:r>
        <w:rPr>
          <w:rFonts w:hint="eastAsia" w:ascii="宋体" w:hAnsi="宋体"/>
          <w:b/>
          <w:color w:val="000000" w:themeColor="text1"/>
          <w:szCs w:val="21"/>
          <w:highlight w:val="none"/>
          <w14:textFill>
            <w14:solidFill>
              <w14:schemeClr w14:val="tx1"/>
            </w14:solidFill>
          </w14:textFill>
        </w:rPr>
        <w:t xml:space="preserve">、招标文件的修改</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8.1</w:t>
      </w:r>
      <w:r>
        <w:rPr>
          <w:rFonts w:hint="eastAsia" w:ascii="宋体" w:hAnsi="宋体"/>
          <w:bCs/>
          <w:color w:val="000000" w:themeColor="text1"/>
          <w:szCs w:val="21"/>
          <w:highlight w:val="none"/>
          <w14:textFill>
            <w14:solidFill>
              <w14:schemeClr w14:val="tx1"/>
            </w14:solidFill>
          </w14:textFill>
        </w:rPr>
        <w:t xml:space="preserve">在投标截止时间前，代理机构可以对招标文件进行修改。</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8.2</w:t>
      </w:r>
      <w:r>
        <w:rPr>
          <w:rFonts w:hint="eastAsia" w:ascii="宋体" w:hAnsi="宋体"/>
          <w:bCs/>
          <w:color w:val="000000" w:themeColor="text1"/>
          <w:szCs w:val="21"/>
          <w:highlight w:val="none"/>
          <w14:textFill>
            <w14:solidFill>
              <w14:schemeClr w14:val="tx1"/>
            </w14:solidFill>
          </w14:textFill>
        </w:rPr>
        <w:t xml:space="preserve">代理机构在招标文件要求提交投标文件截止时间前，有权按照法定要求推迟投标截止时间和开标时间。</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8.3</w:t>
      </w:r>
      <w:r>
        <w:rPr>
          <w:rFonts w:hint="eastAsia" w:ascii="宋体" w:hAnsi="宋体"/>
          <w:bCs/>
          <w:color w:val="000000" w:themeColor="text1"/>
          <w:szCs w:val="21"/>
          <w:highlight w:val="none"/>
          <w14:textFill>
            <w14:solidFill>
              <w14:schemeClr w14:val="tx1"/>
            </w14:solidFill>
          </w14:textFill>
        </w:rPr>
        <w:t xml:space="preserve">招标文件的修改将在“扬州市政府采购网”、“江都区政府采购网”公布，补充文件将作为招标文件的组成部分，并对投标人具有约束力。</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9</w:t>
      </w:r>
      <w:r>
        <w:rPr>
          <w:rFonts w:hint="eastAsia" w:ascii="宋体" w:hAnsi="宋体"/>
          <w:b/>
          <w:color w:val="000000" w:themeColor="text1"/>
          <w:szCs w:val="21"/>
          <w:highlight w:val="none"/>
          <w14:textFill>
            <w14:solidFill>
              <w14:schemeClr w14:val="tx1"/>
            </w14:solidFill>
          </w14:textFill>
        </w:rPr>
        <w:t xml:space="preserve">、投标文件的语言、度量衡单位、货币</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9.1</w:t>
      </w:r>
      <w:r>
        <w:rPr>
          <w:rFonts w:hint="eastAsia" w:ascii="宋体" w:hAnsi="宋体"/>
          <w:bCs/>
          <w:color w:val="000000" w:themeColor="text1"/>
          <w:szCs w:val="21"/>
          <w:highlight w:val="none"/>
          <w14:textFill>
            <w14:solidFill>
              <w14:schemeClr w14:val="tx1"/>
            </w14:solidFill>
          </w14:textFill>
        </w:rPr>
        <w:t xml:space="preserve">投标人提交的投标文件以及投标人与代理机构就有关投标的所有来往通知、函件和文件均应使用简体中文。</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9.2</w:t>
      </w:r>
      <w:r>
        <w:rPr>
          <w:rFonts w:hint="eastAsia" w:ascii="宋体" w:hAnsi="宋体"/>
          <w:bCs/>
          <w:color w:val="000000" w:themeColor="text1"/>
          <w:szCs w:val="21"/>
          <w:highlight w:val="none"/>
          <w14:textFill>
            <w14:solidFill>
              <w14:schemeClr w14:val="tx1"/>
            </w14:solidFill>
          </w14:textFill>
        </w:rPr>
        <w:t xml:space="preserve">除技术性能另有规定外，投标文件所使用的度量衡单位，均须采用国家法定计量单位。</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9.3</w:t>
      </w:r>
      <w:r>
        <w:rPr>
          <w:rFonts w:hint="eastAsia" w:ascii="宋体" w:hAnsi="宋体"/>
          <w:bCs/>
          <w:color w:val="000000" w:themeColor="text1"/>
          <w:szCs w:val="21"/>
          <w:highlight w:val="none"/>
          <w14:textFill>
            <w14:solidFill>
              <w14:schemeClr w14:val="tx1"/>
            </w14:solidFill>
          </w14:textFill>
        </w:rPr>
        <w:t xml:space="preserve">投标人应使用人民币报价。</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10</w:t>
      </w:r>
      <w:r>
        <w:rPr>
          <w:rFonts w:hint="eastAsia" w:ascii="宋体" w:hAnsi="宋体"/>
          <w:b/>
          <w:color w:val="000000" w:themeColor="text1"/>
          <w:szCs w:val="21"/>
          <w:highlight w:val="none"/>
          <w14:textFill>
            <w14:solidFill>
              <w14:schemeClr w14:val="tx1"/>
            </w14:solidFill>
          </w14:textFill>
        </w:rPr>
        <w:t xml:space="preserve">、投标文件构成</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、资格审查响应对照表</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、符合性审查响应对照表</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、非实质性响应对照表</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、开标一览表</w:t>
      </w:r>
      <w:r>
        <w:rPr>
          <w:rFonts w:ascii="宋体" w:hAnsi="宋体"/>
          <w:bCs/>
          <w:color w:val="000000" w:themeColor="text1"/>
          <w:szCs w:val="21"/>
          <w:highlight w:val="none"/>
          <w14:textFill>
            <w14:solidFill>
              <w14:schemeClr w14:val="tx1"/>
            </w14:solidFill>
          </w14:textFill>
        </w:rPr>
        <w:t xml:space="preserve"> </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、分项报价表</w:t>
      </w:r>
      <w:r>
        <w:rPr>
          <w:rFonts w:ascii="宋体" w:hAnsi="宋体"/>
          <w:bCs/>
          <w:color w:val="000000" w:themeColor="text1"/>
          <w:szCs w:val="21"/>
          <w:highlight w:val="none"/>
          <w14:textFill>
            <w14:solidFill>
              <w14:schemeClr w14:val="tx1"/>
            </w14:solidFill>
          </w14:textFill>
        </w:rPr>
        <w:t xml:space="preserve"> </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、技术参数响应及偏离表</w:t>
      </w:r>
      <w:r>
        <w:rPr>
          <w:rFonts w:ascii="宋体" w:hAnsi="宋体"/>
          <w:bCs/>
          <w:color w:val="000000" w:themeColor="text1"/>
          <w:szCs w:val="21"/>
          <w:highlight w:val="none"/>
          <w14:textFill>
            <w14:solidFill>
              <w14:schemeClr w14:val="tx1"/>
            </w14:solidFill>
          </w14:textFill>
        </w:rPr>
        <w:t xml:space="preserve"> </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、商务条款响应及偏离表</w:t>
      </w:r>
      <w:r>
        <w:rPr>
          <w:rFonts w:ascii="宋体" w:hAnsi="宋体"/>
          <w:bCs/>
          <w:color w:val="000000" w:themeColor="text1"/>
          <w:szCs w:val="21"/>
          <w:highlight w:val="none"/>
          <w14:textFill>
            <w14:solidFill>
              <w14:schemeClr w14:val="tx1"/>
            </w14:solidFill>
          </w14:textFill>
        </w:rPr>
        <w:t xml:space="preserve"> </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、其他</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（投标人认为有必要提供的声明和文件，如有自拟并自行添加）</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10.2</w:t>
      </w:r>
      <w:r>
        <w:rPr>
          <w:rFonts w:hint="eastAsia" w:ascii="宋体" w:hAnsi="宋体"/>
          <w:bCs/>
          <w:color w:val="000000" w:themeColor="text1"/>
          <w:szCs w:val="21"/>
          <w:highlight w:val="none"/>
          <w14:textFill>
            <w14:solidFill>
              <w14:schemeClr w14:val="tx1"/>
            </w14:solidFill>
          </w14:textFill>
        </w:rPr>
        <w:t xml:space="preserve">投标人应当根据招标文件要求编制投标文件，投标文件应对招标文件提出的要求和条件作出响应，并在相应的投标文件中逐条标明满足与否。</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11</w:t>
      </w:r>
      <w:r>
        <w:rPr>
          <w:rFonts w:hint="eastAsia" w:ascii="宋体" w:hAnsi="宋体"/>
          <w:b/>
          <w:color w:val="000000" w:themeColor="text1"/>
          <w:szCs w:val="21"/>
          <w:highlight w:val="none"/>
          <w14:textFill>
            <w14:solidFill>
              <w14:schemeClr w14:val="tx1"/>
            </w14:solidFill>
          </w14:textFill>
        </w:rPr>
        <w:t xml:space="preserve">、证明投标人资格及符合招标文件规定的文件</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11.1</w:t>
      </w:r>
      <w:r>
        <w:rPr>
          <w:rFonts w:hint="eastAsia" w:ascii="宋体" w:hAnsi="宋体"/>
          <w:bCs/>
          <w:color w:val="000000" w:themeColor="text1"/>
          <w:szCs w:val="21"/>
          <w:highlight w:val="none"/>
          <w14:textFill>
            <w14:solidFill>
              <w14:schemeClr w14:val="tx1"/>
            </w14:solidFill>
          </w14:textFill>
        </w:rPr>
        <w:t xml:space="preserve">投标人应按要求提交资格证明文件及符合招标文件规定的文件。</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11.2</w:t>
      </w:r>
      <w:r>
        <w:rPr>
          <w:rFonts w:hint="eastAsia" w:ascii="宋体" w:hAnsi="宋体"/>
          <w:bCs/>
          <w:color w:val="000000" w:themeColor="text1"/>
          <w:szCs w:val="21"/>
          <w:highlight w:val="none"/>
          <w14:textFill>
            <w14:solidFill>
              <w14:schemeClr w14:val="tx1"/>
            </w14:solidFill>
          </w14:textFill>
        </w:rPr>
        <w:t xml:space="preserve">投标人应提交证明其有资格参加投标和中标后有能力独立履行合同的文件。</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11.3</w:t>
      </w:r>
      <w:r>
        <w:rPr>
          <w:rFonts w:hint="eastAsia" w:ascii="宋体" w:hAnsi="宋体"/>
          <w:bCs/>
          <w:color w:val="000000" w:themeColor="text1"/>
          <w:szCs w:val="21"/>
          <w:highlight w:val="none"/>
          <w14:textFill>
            <w14:solidFill>
              <w14:schemeClr w14:val="tx1"/>
            </w14:solidFill>
          </w14:textFill>
        </w:rPr>
        <w:t xml:space="preserve">投标人除必须具有履行合同所需提供的产品或服务的能力外，还必须具备相应的财务、技术方面的能力。</w:t>
      </w:r>
      <w:r/>
    </w:p>
    <w:p>
      <w:pPr>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11.4</w:t>
      </w:r>
      <w:r>
        <w:rPr>
          <w:rFonts w:hint="eastAsia" w:ascii="宋体" w:hAnsi="宋体"/>
          <w:bCs/>
          <w:color w:val="000000" w:themeColor="text1"/>
          <w:szCs w:val="21"/>
          <w:highlight w:val="none"/>
          <w14:textFill>
            <w14:solidFill>
              <w14:schemeClr w14:val="tx1"/>
            </w14:solidFill>
          </w14:textFill>
        </w:rPr>
        <w:t xml:space="preserve">投标人应提交根据合同要求提供的证明服务质量合格以及符合招标文件规定的证明文件。</w:t>
      </w:r>
      <w:r/>
    </w:p>
    <w:p>
      <w:pPr>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11.5</w:t>
      </w:r>
      <w:r>
        <w:rPr>
          <w:rFonts w:hint="eastAsia" w:ascii="宋体" w:hAnsi="宋体"/>
          <w:bCs/>
          <w:color w:val="000000" w:themeColor="text1"/>
          <w:szCs w:val="21"/>
          <w:highlight w:val="none"/>
          <w14:textFill>
            <w14:solidFill>
              <w14:schemeClr w14:val="tx1"/>
            </w14:solidFill>
          </w14:textFill>
        </w:rPr>
        <w:t xml:space="preserve">证明投标人所提供服务与招标文件的要求相一致的文件可以是手册、图纸、文字资料和数据。</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12</w:t>
      </w:r>
      <w:r>
        <w:rPr>
          <w:rFonts w:hint="eastAsia" w:ascii="宋体" w:hAnsi="宋体"/>
          <w:b/>
          <w:color w:val="000000" w:themeColor="text1"/>
          <w:szCs w:val="21"/>
          <w:highlight w:val="none"/>
          <w14:textFill>
            <w14:solidFill>
              <w14:schemeClr w14:val="tx1"/>
            </w14:solidFill>
          </w14:textFill>
        </w:rPr>
        <w:t xml:space="preserve">、投标配置与分项报价表</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12.1</w:t>
      </w:r>
      <w:r>
        <w:rPr>
          <w:rFonts w:hint="eastAsia" w:ascii="宋体" w:hAnsi="宋体"/>
          <w:bCs/>
          <w:color w:val="000000" w:themeColor="text1"/>
          <w:szCs w:val="21"/>
          <w:highlight w:val="none"/>
          <w14:textFill>
            <w14:solidFill>
              <w14:schemeClr w14:val="tx1"/>
            </w14:solidFill>
          </w14:textFill>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如有备选配件，备选配件的报价不属于选择的报价</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12.2 </w:t>
      </w:r>
      <w:r>
        <w:rPr>
          <w:rFonts w:hint="eastAsia" w:ascii="宋体" w:hAnsi="宋体"/>
          <w:bCs/>
          <w:color w:val="000000" w:themeColor="text1"/>
          <w:szCs w:val="21"/>
          <w:highlight w:val="none"/>
          <w14:textFill>
            <w14:solidFill>
              <w14:schemeClr w14:val="tx1"/>
            </w14:solidFill>
          </w14:textFill>
        </w:rPr>
        <w:t xml:space="preserve">标的物</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采购人需求的服务供应、安装，调试及有关技术服务等。</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12.3</w:t>
      </w:r>
      <w:r>
        <w:rPr>
          <w:rFonts w:hint="eastAsia" w:ascii="宋体" w:hAnsi="宋体"/>
          <w:bCs/>
          <w:color w:val="000000" w:themeColor="text1"/>
          <w:szCs w:val="21"/>
          <w:highlight w:val="none"/>
          <w14:textFill>
            <w14:solidFill>
              <w14:schemeClr w14:val="tx1"/>
            </w14:solidFill>
          </w14:textFill>
        </w:rPr>
        <w:t xml:space="preserve">有关费用处理</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12.4</w:t>
      </w:r>
      <w:r>
        <w:rPr>
          <w:rFonts w:hint="eastAsia" w:ascii="宋体" w:hAnsi="宋体"/>
          <w:bCs/>
          <w:color w:val="000000" w:themeColor="text1"/>
          <w:szCs w:val="21"/>
          <w:highlight w:val="none"/>
          <w14:textFill>
            <w14:solidFill>
              <w14:schemeClr w14:val="tx1"/>
            </w14:solidFill>
          </w14:textFill>
        </w:rPr>
        <w:t xml:space="preserve">其它费用处理</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招标文件未列明，而投标人认为必需的费用也需列入报价。</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12.5</w:t>
      </w:r>
      <w:r>
        <w:rPr>
          <w:rFonts w:hint="eastAsia" w:ascii="宋体" w:hAnsi="宋体"/>
          <w:bCs/>
          <w:color w:val="000000" w:themeColor="text1"/>
          <w:szCs w:val="21"/>
          <w:highlight w:val="none"/>
          <w14:textFill>
            <w14:solidFill>
              <w14:schemeClr w14:val="tx1"/>
            </w14:solidFill>
          </w14:textFill>
        </w:rPr>
        <w:t xml:space="preserve">投标货币</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投标文件中的服务单价和总价无特殊规定的采用人民币报价，以元为单位标注。招标文件中另有规定的按规定执行。</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12.6 </w:t>
      </w:r>
      <w:r>
        <w:rPr>
          <w:rFonts w:hint="eastAsia" w:ascii="宋体" w:hAnsi="宋体"/>
          <w:bCs/>
          <w:color w:val="000000" w:themeColor="text1"/>
          <w:szCs w:val="21"/>
          <w:highlight w:val="none"/>
          <w14:textFill>
            <w14:solidFill>
              <w14:schemeClr w14:val="tx1"/>
            </w14:solidFill>
          </w14:textFill>
        </w:rPr>
        <w:t xml:space="preserve">投标配置与分项报价表上的价格应按下列方式分开填写：</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、项目单价按投标配置及分项报价表中要求填报。</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13</w:t>
      </w:r>
      <w:r>
        <w:rPr>
          <w:rFonts w:hint="eastAsia" w:ascii="宋体" w:hAnsi="宋体"/>
          <w:b/>
          <w:color w:val="000000" w:themeColor="text1"/>
          <w:szCs w:val="21"/>
          <w:highlight w:val="none"/>
          <w14:textFill>
            <w14:solidFill>
              <w14:schemeClr w14:val="tx1"/>
            </w14:solidFill>
          </w14:textFill>
        </w:rPr>
        <w:t xml:space="preserve">、技术参数响应及偏离表、商务条款响应及偏离表及投标货物说明</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13.1 </w:t>
      </w:r>
      <w:r>
        <w:rPr>
          <w:rFonts w:hint="eastAsia" w:ascii="宋体" w:hAnsi="宋体"/>
          <w:bCs/>
          <w:color w:val="000000" w:themeColor="text1"/>
          <w:szCs w:val="21"/>
          <w:highlight w:val="none"/>
          <w14:textFill>
            <w14:solidFill>
              <w14:schemeClr w14:val="tx1"/>
            </w14:solidFill>
          </w14:textFill>
        </w:rPr>
        <w:t xml:space="preserve">对招标文件中的技术与商务条款要求逐项作出响应或偏离，并说明原因；</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13.2 </w:t>
      </w:r>
      <w:r>
        <w:rPr>
          <w:rFonts w:hint="eastAsia" w:ascii="宋体" w:hAnsi="宋体"/>
          <w:bCs/>
          <w:color w:val="000000" w:themeColor="text1"/>
          <w:szCs w:val="21"/>
          <w:highlight w:val="none"/>
          <w14:textFill>
            <w14:solidFill>
              <w14:schemeClr w14:val="tx1"/>
            </w14:solidFill>
          </w14:textFill>
        </w:rPr>
        <w:t xml:space="preserve">提供参加本项目类似案例简介；</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13.3 </w:t>
      </w:r>
      <w:r>
        <w:rPr>
          <w:rFonts w:hint="eastAsia" w:ascii="宋体" w:hAnsi="宋体"/>
          <w:bCs/>
          <w:color w:val="000000" w:themeColor="text1"/>
          <w:szCs w:val="21"/>
          <w:highlight w:val="none"/>
          <w14:textFill>
            <w14:solidFill>
              <w14:schemeClr w14:val="tx1"/>
            </w14:solidFill>
          </w14:textFill>
        </w:rPr>
        <w:t xml:space="preserve">培训计划；</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13.4 </w:t>
      </w:r>
      <w:r>
        <w:rPr>
          <w:rFonts w:hint="eastAsia" w:ascii="宋体" w:hAnsi="宋体"/>
          <w:bCs/>
          <w:color w:val="000000" w:themeColor="text1"/>
          <w:szCs w:val="21"/>
          <w:highlight w:val="none"/>
          <w14:textFill>
            <w14:solidFill>
              <w14:schemeClr w14:val="tx1"/>
            </w14:solidFill>
          </w14:textFill>
        </w:rPr>
        <w:t xml:space="preserve">详细阐述所投货物的主要组成部分、功能设计、实现思路及关键技术；</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13.5 </w:t>
      </w:r>
      <w:r>
        <w:rPr>
          <w:rFonts w:hint="eastAsia" w:ascii="宋体" w:hAnsi="宋体"/>
          <w:bCs/>
          <w:color w:val="000000" w:themeColor="text1"/>
          <w:szCs w:val="21"/>
          <w:highlight w:val="none"/>
          <w14:textFill>
            <w14:solidFill>
              <w14:schemeClr w14:val="tx1"/>
            </w14:solidFill>
          </w14:textFill>
        </w:rPr>
        <w:t xml:space="preserve">投标人认为需要的其他技术文件或说明。</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14</w:t>
      </w:r>
      <w:r>
        <w:rPr>
          <w:rFonts w:hint="eastAsia" w:ascii="宋体" w:hAnsi="宋体"/>
          <w:b/>
          <w:color w:val="000000" w:themeColor="text1"/>
          <w:szCs w:val="21"/>
          <w:highlight w:val="none"/>
          <w14:textFill>
            <w14:solidFill>
              <w14:schemeClr w14:val="tx1"/>
            </w14:solidFill>
          </w14:textFill>
        </w:rPr>
        <w:t xml:space="preserve">、服务承诺及售后服务机构、人员的情况介绍</w:t>
      </w:r>
      <w:r/>
    </w:p>
    <w:p>
      <w:pPr>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14.1</w:t>
      </w:r>
      <w:r>
        <w:rPr>
          <w:rFonts w:hint="eastAsia" w:ascii="宋体" w:hAnsi="宋体"/>
          <w:bCs/>
          <w:color w:val="000000" w:themeColor="text1"/>
          <w:szCs w:val="21"/>
          <w:highlight w:val="none"/>
          <w14:textFill>
            <w14:solidFill>
              <w14:schemeClr w14:val="tx1"/>
            </w14:solidFill>
          </w14:textFill>
        </w:rPr>
        <w:t xml:space="preserve">投标人的服务承诺应按不低于招标文件中商务要求的标准。</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14.2</w:t>
      </w:r>
      <w:r>
        <w:rPr>
          <w:rFonts w:hint="eastAsia" w:ascii="宋体" w:hAnsi="宋体"/>
          <w:bCs/>
          <w:color w:val="000000" w:themeColor="text1"/>
          <w:szCs w:val="21"/>
          <w:highlight w:val="none"/>
          <w14:textFill>
            <w14:solidFill>
              <w14:schemeClr w14:val="tx1"/>
            </w14:solidFill>
          </w14:textFill>
        </w:rPr>
        <w:t xml:space="preserve">提供投标人有关售后服务的管理制度、售后服务机构的分布情况、售后服务人员的数量、素质、技术水平及售后服务的反应能力。</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15</w:t>
      </w:r>
      <w:r>
        <w:rPr>
          <w:rFonts w:hint="eastAsia" w:ascii="宋体" w:hAnsi="宋体"/>
          <w:b/>
          <w:color w:val="000000" w:themeColor="text1"/>
          <w:szCs w:val="21"/>
          <w:highlight w:val="none"/>
          <w14:textFill>
            <w14:solidFill>
              <w14:schemeClr w14:val="tx1"/>
            </w14:solidFill>
          </w14:textFill>
        </w:rPr>
        <w:t xml:space="preserve">、投标函和开标一览表</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15.1 </w:t>
      </w:r>
      <w:r>
        <w:rPr>
          <w:rFonts w:hint="eastAsia" w:ascii="宋体" w:hAnsi="宋体"/>
          <w:bCs/>
          <w:color w:val="000000" w:themeColor="text1"/>
          <w:szCs w:val="21"/>
          <w:highlight w:val="none"/>
          <w14:textFill>
            <w14:solidFill>
              <w14:schemeClr w14:val="tx1"/>
            </w14:solidFill>
          </w14:textFill>
        </w:rPr>
        <w:t xml:space="preserve">投标人应按照招标文件中提供的格式完整、正确填写投标函、开标一览表。</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15.2 </w:t>
      </w:r>
      <w:r>
        <w:rPr>
          <w:rFonts w:hint="eastAsia" w:ascii="宋体" w:hAnsi="宋体"/>
          <w:bCs/>
          <w:color w:val="000000" w:themeColor="text1"/>
          <w:szCs w:val="21"/>
          <w:highlight w:val="none"/>
          <w14:textFill>
            <w14:solidFill>
              <w14:schemeClr w14:val="tx1"/>
            </w14:solidFill>
          </w14:textFill>
        </w:rPr>
        <w:t xml:space="preserve">开标一览表中的价格应与投标文件中分项报价表中的价格一致，如不一致，不作为无效投标处理，但评标时按开标一览表中价格为准。</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16</w:t>
      </w:r>
      <w:r>
        <w:rPr>
          <w:rFonts w:hint="eastAsia" w:ascii="宋体" w:hAnsi="宋体"/>
          <w:b/>
          <w:color w:val="000000" w:themeColor="text1"/>
          <w:szCs w:val="21"/>
          <w:highlight w:val="none"/>
          <w14:textFill>
            <w14:solidFill>
              <w14:schemeClr w14:val="tx1"/>
            </w14:solidFill>
          </w14:textFill>
        </w:rPr>
        <w:t xml:space="preserve">、投标有效期</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16.1 </w:t>
      </w:r>
      <w:r>
        <w:rPr>
          <w:rFonts w:hint="eastAsia" w:ascii="宋体" w:hAnsi="宋体"/>
          <w:bCs/>
          <w:color w:val="000000" w:themeColor="text1"/>
          <w:szCs w:val="21"/>
          <w:highlight w:val="none"/>
          <w14:textFill>
            <w14:solidFill>
              <w14:schemeClr w14:val="tx1"/>
            </w14:solidFill>
          </w14:textFill>
        </w:rPr>
        <w:t xml:space="preserve">投标有效期为开标之日起六十（</w:t>
      </w:r>
      <w:r>
        <w:rPr>
          <w:rFonts w:ascii="宋体" w:hAnsi="宋体"/>
          <w:bCs/>
          <w:color w:val="000000" w:themeColor="text1"/>
          <w:szCs w:val="21"/>
          <w:highlight w:val="none"/>
          <w14:textFill>
            <w14:solidFill>
              <w14:schemeClr w14:val="tx1"/>
            </w14:solidFill>
          </w14:textFill>
        </w:rPr>
        <w:t xml:space="preserve">60</w:t>
      </w:r>
      <w:r>
        <w:rPr>
          <w:rFonts w:hint="eastAsia" w:ascii="宋体" w:hAnsi="宋体"/>
          <w:bCs/>
          <w:color w:val="000000" w:themeColor="text1"/>
          <w:szCs w:val="21"/>
          <w:highlight w:val="none"/>
          <w14:textFill>
            <w14:solidFill>
              <w14:schemeClr w14:val="tx1"/>
            </w14:solidFill>
          </w14:textFill>
        </w:rPr>
        <w:t xml:space="preserve">）天。投标有效期比规定短的将被视为非响应性投标而予以拒绝。</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16.2</w:t>
      </w:r>
      <w:r>
        <w:rPr>
          <w:rFonts w:hint="eastAsia" w:ascii="宋体" w:hAnsi="宋体"/>
          <w:bCs/>
          <w:color w:val="000000" w:themeColor="text1"/>
          <w:szCs w:val="21"/>
          <w:highlight w:val="none"/>
          <w14:textFill>
            <w14:solidFill>
              <w14:schemeClr w14:val="tx1"/>
            </w14:solidFill>
          </w14:textFill>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b/>
          <w:color w:val="000000" w:themeColor="text1"/>
          <w:szCs w:val="21"/>
          <w:highlight w:val="none"/>
          <w14:textFill>
            <w14:solidFill>
              <w14:schemeClr w14:val="tx1"/>
            </w14:solidFill>
          </w14:textFill>
        </w:rPr>
      </w:pPr>
      <w:r/>
      <w:bookmarkStart w:id="21" w:name="_Toc16938541"/>
      <w:r/>
      <w:bookmarkStart w:id="22" w:name="_Toc462564084"/>
      <w:r/>
      <w:bookmarkStart w:id="23" w:name="_Toc513029225"/>
      <w:r/>
      <w:bookmarkStart w:id="24" w:name="_Toc20823297"/>
      <w:r>
        <w:rPr>
          <w:rFonts w:ascii="宋体" w:hAnsi="宋体"/>
          <w:b/>
          <w:color w:val="000000" w:themeColor="text1"/>
          <w:szCs w:val="21"/>
          <w:highlight w:val="none"/>
          <w14:textFill>
            <w14:solidFill>
              <w14:schemeClr w14:val="tx1"/>
            </w14:solidFill>
          </w14:textFill>
        </w:rPr>
        <w:t xml:space="preserve">17</w:t>
      </w:r>
      <w:r>
        <w:rPr>
          <w:rFonts w:hint="eastAsia" w:ascii="宋体" w:hAnsi="宋体"/>
          <w:b/>
          <w:color w:val="000000" w:themeColor="text1"/>
          <w:szCs w:val="21"/>
          <w:highlight w:val="none"/>
          <w14:textFill>
            <w14:solidFill>
              <w14:schemeClr w14:val="tx1"/>
            </w14:solidFill>
          </w14:textFill>
        </w:rPr>
        <w:t xml:space="preserve">、投标文件</w:t>
      </w:r>
      <w:bookmarkEnd w:id="21"/>
      <w:r/>
      <w:bookmarkEnd w:id="22"/>
      <w:r/>
      <w:bookmarkEnd w:id="23"/>
      <w:r/>
      <w:bookmarkEnd w:id="24"/>
      <w:r>
        <w:rPr>
          <w:rFonts w:hint="eastAsia" w:ascii="宋体" w:hAnsi="宋体"/>
          <w:b/>
          <w:color w:val="000000" w:themeColor="text1"/>
          <w:szCs w:val="21"/>
          <w:highlight w:val="none"/>
          <w14:textFill>
            <w14:solidFill>
              <w14:schemeClr w14:val="tx1"/>
            </w14:solidFill>
          </w14:textFill>
        </w:rPr>
        <w:t xml:space="preserve">的递交</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17.1</w:t>
      </w:r>
      <w:r>
        <w:rPr>
          <w:rFonts w:hint="eastAsia" w:ascii="宋体" w:hAnsi="宋体"/>
          <w:bCs/>
          <w:color w:val="000000" w:themeColor="text1"/>
          <w:szCs w:val="21"/>
          <w:highlight w:val="none"/>
          <w14:textFill>
            <w14:solidFill>
              <w14:schemeClr w14:val="tx1"/>
            </w14:solidFill>
          </w14:textFill>
        </w:rPr>
        <w:t xml:space="preserve">电子投标文件的递交投标人应当按照《操作手册》规定，在投标截止时间前制作并上传电子投标文件。</w:t>
      </w:r>
      <w:bookmarkStart w:id="25" w:name="_Toc20823298"/>
      <w:r/>
      <w:bookmarkStart w:id="26" w:name="_Toc16938542"/>
      <w:r/>
      <w:bookmarkStart w:id="27" w:name="_Toc513029226"/>
      <w:r/>
      <w:r/>
    </w:p>
    <w:p>
      <w:pPr>
        <w:ind w:firstLine="422"/>
        <w:spacing w:line="360" w:lineRule="auto"/>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17.2</w:t>
      </w:r>
      <w:r>
        <w:rPr>
          <w:rFonts w:hint="eastAsia" w:ascii="宋体" w:hAnsi="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b/>
          <w:color w:val="000000" w:themeColor="text1"/>
          <w:szCs w:val="21"/>
          <w:highlight w:val="none"/>
          <w14:textFill>
            <w14:solidFill>
              <w14:schemeClr w14:val="tx1"/>
            </w14:solidFill>
          </w14:textFill>
        </w:rPr>
        <w:t xml:space="preserve">相关要求是本招标文件的组成部分。</w:t>
      </w:r>
      <w:r/>
    </w:p>
    <w:p>
      <w:pPr>
        <w:ind w:firstLine="422"/>
        <w:spacing w:line="360" w:lineRule="auto"/>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17.3</w:t>
      </w:r>
      <w:r>
        <w:rPr>
          <w:rFonts w:hint="eastAsia" w:ascii="宋体" w:hAnsi="宋体"/>
          <w:b/>
          <w:color w:val="000000" w:themeColor="text1"/>
          <w:szCs w:val="21"/>
          <w:highlight w:val="none"/>
          <w14:textFill>
            <w14:solidFill>
              <w14:schemeClr w14:val="tx1"/>
            </w14:solidFill>
          </w14:textFill>
        </w:rPr>
        <w:t xml:space="preserve">投标人应对</w:t>
      </w:r>
      <w:r>
        <w:rPr>
          <w:rFonts w:ascii="宋体" w:hAnsi="宋体"/>
          <w:b/>
          <w:color w:val="000000" w:themeColor="text1"/>
          <w:szCs w:val="21"/>
          <w:highlight w:val="none"/>
          <w14:textFill>
            <w14:solidFill>
              <w14:schemeClr w14:val="tx1"/>
            </w14:solidFill>
          </w14:textFill>
        </w:rPr>
        <w:t xml:space="preserve"> CA </w:t>
      </w:r>
      <w:r>
        <w:rPr>
          <w:rFonts w:hint="eastAsia" w:ascii="宋体" w:hAnsi="宋体"/>
          <w:b/>
          <w:color w:val="000000" w:themeColor="text1"/>
          <w:szCs w:val="21"/>
          <w:highlight w:val="none"/>
          <w14:textFill>
            <w14:solidFill>
              <w14:schemeClr w14:val="tx1"/>
            </w14:solidFill>
          </w14:textFill>
        </w:rPr>
        <w:t xml:space="preserve">证书妥善保管，如被他人盗用投标，因此带来的结果均由投标人自行承担。</w:t>
      </w:r>
      <w:r/>
    </w:p>
    <w:p>
      <w:pPr>
        <w:ind w:firstLine="422"/>
        <w:spacing w:line="360" w:lineRule="auto"/>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17.4</w:t>
      </w:r>
      <w:r>
        <w:rPr>
          <w:rFonts w:hint="eastAsia" w:ascii="宋体" w:hAnsi="宋体"/>
          <w:b/>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2"/>
        <w:spacing w:line="360" w:lineRule="auto"/>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17.5</w:t>
      </w:r>
      <w:r>
        <w:rPr>
          <w:rFonts w:hint="eastAsia" w:ascii="宋体" w:hAnsi="宋体"/>
          <w:b/>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2"/>
        <w:spacing w:line="360" w:lineRule="auto"/>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17.6</w:t>
      </w:r>
      <w:r>
        <w:rPr>
          <w:rFonts w:hint="eastAsia" w:ascii="宋体" w:hAnsi="宋体"/>
          <w:b/>
          <w:color w:val="000000" w:themeColor="text1"/>
          <w:szCs w:val="21"/>
          <w:highlight w:val="none"/>
          <w14:textFill>
            <w14:solidFill>
              <w14:schemeClr w14:val="tx1"/>
            </w14:solidFill>
          </w14:textFill>
        </w:rPr>
        <w:t xml:space="preserve">投标人应当在招标文件要求提交投标文件的截止时间前，将投标文件提交至“苏采云”系统，逾期提交的投标文件，“苏采云”系统将自动拒收。</w:t>
      </w:r>
      <w:r/>
    </w:p>
    <w:p>
      <w:pPr>
        <w:ind w:firstLine="422"/>
        <w:spacing w:line="360" w:lineRule="auto"/>
        <w:rPr>
          <w:color w:val="000000" w:themeColor="text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17.7</w:t>
      </w:r>
      <w:r>
        <w:rPr>
          <w:rFonts w:hint="eastAsia" w:ascii="宋体" w:hAnsi="宋体"/>
          <w:b/>
          <w:color w:val="000000" w:themeColor="text1"/>
          <w:szCs w:val="21"/>
          <w:highlight w:val="none"/>
          <w14:textFill>
            <w14:solidFill>
              <w14:schemeClr w14:val="tx1"/>
            </w14:solidFill>
          </w14:textFill>
        </w:rPr>
        <w:t xml:space="preserve">各投标人应在规定时间内凭</w:t>
      </w:r>
      <w:r>
        <w:rPr>
          <w:rFonts w:ascii="宋体" w:hAnsi="宋体"/>
          <w:b/>
          <w:color w:val="000000" w:themeColor="text1"/>
          <w:szCs w:val="21"/>
          <w:highlight w:val="none"/>
          <w14:textFill>
            <w14:solidFill>
              <w14:schemeClr w14:val="tx1"/>
            </w14:solidFill>
          </w14:textFill>
        </w:rPr>
        <w:t xml:space="preserve">CA</w:t>
      </w:r>
      <w:r>
        <w:rPr>
          <w:rFonts w:hint="eastAsia" w:ascii="宋体" w:hAnsi="宋体"/>
          <w:b/>
          <w:color w:val="000000" w:themeColor="text1"/>
          <w:szCs w:val="21"/>
          <w:highlight w:val="none"/>
          <w14:textFill>
            <w14:solidFill>
              <w14:schemeClr w14:val="tx1"/>
            </w14:solidFill>
          </w14:textFill>
        </w:rPr>
        <w:t xml:space="preserve">证书进行网上解密。</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18</w:t>
      </w:r>
      <w:r>
        <w:rPr>
          <w:rFonts w:hint="eastAsia" w:ascii="宋体" w:hAnsi="宋体"/>
          <w:b/>
          <w:color w:val="000000" w:themeColor="text1"/>
          <w:szCs w:val="21"/>
          <w:highlight w:val="none"/>
          <w14:textFill>
            <w14:solidFill>
              <w14:schemeClr w14:val="tx1"/>
            </w14:solidFill>
          </w14:textFill>
        </w:rPr>
        <w:t xml:space="preserve">、投标截止日期</w:t>
      </w:r>
      <w:bookmarkEnd w:id="25"/>
      <w:r/>
      <w:bookmarkEnd w:id="26"/>
      <w:r/>
      <w:bookmarkEnd w:id="27"/>
      <w:r/>
      <w:r/>
    </w:p>
    <w:p>
      <w:pPr>
        <w:ind w:firstLine="420"/>
        <w:spacing w:line="440" w:lineRule="exact"/>
        <w:rPr>
          <w:rFonts w:ascii="宋体"/>
          <w:bCs/>
          <w:i/>
          <w:iCs/>
          <w:color w:val="000000" w:themeColor="text1"/>
          <w:szCs w:val="21"/>
          <w:highlight w:val="none"/>
          <w:u w:val="single"/>
          <w14:textFill>
            <w14:solidFill>
              <w14:schemeClr w14:val="tx1"/>
            </w14:solidFill>
          </w14:textFill>
        </w:rPr>
      </w:pPr>
      <w:r>
        <w:rPr>
          <w:rFonts w:ascii="宋体" w:hAnsi="宋体"/>
          <w:bCs/>
          <w:i/>
          <w:iCs/>
          <w:color w:val="000000" w:themeColor="text1"/>
          <w:szCs w:val="21"/>
          <w:highlight w:val="none"/>
          <w:u w:val="single"/>
          <w14:textFill>
            <w14:solidFill>
              <w14:schemeClr w14:val="tx1"/>
            </w14:solidFill>
          </w14:textFill>
        </w:rPr>
        <w:t xml:space="preserve">18.1 </w:t>
      </w:r>
      <w:r>
        <w:rPr>
          <w:rFonts w:hint="eastAsia" w:ascii="宋体" w:hAnsi="宋体"/>
          <w:bCs/>
          <w:i/>
          <w:iCs/>
          <w:color w:val="000000" w:themeColor="text1"/>
          <w:szCs w:val="21"/>
          <w:highlight w:val="none"/>
          <w:u w:val="single"/>
          <w14:textFill>
            <w14:solidFill>
              <w14:schemeClr w14:val="tx1"/>
            </w14:solidFill>
          </w14:textFill>
        </w:rPr>
        <w:t xml:space="preserve">投标人上传电子投标文件的时间不得迟于招标公告中规定的投标截止时间。</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18.2</w:t>
      </w:r>
      <w:r>
        <w:rPr>
          <w:rFonts w:hint="eastAsia" w:ascii="宋体" w:hAnsi="宋体"/>
          <w:bCs/>
          <w:color w:val="000000" w:themeColor="text1"/>
          <w:szCs w:val="21"/>
          <w:highlight w:val="none"/>
          <w14:textFill>
            <w14:solidFill>
              <w14:schemeClr w14:val="tx1"/>
            </w14:solidFill>
          </w14:textFill>
        </w:rPr>
        <w:t xml:space="preserve">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b/>
          <w:color w:val="000000" w:themeColor="text1"/>
          <w:szCs w:val="21"/>
          <w:highlight w:val="none"/>
          <w14:textFill>
            <w14:solidFill>
              <w14:schemeClr w14:val="tx1"/>
            </w14:solidFill>
          </w14:textFill>
        </w:rPr>
      </w:pPr>
      <w:r/>
      <w:bookmarkStart w:id="28" w:name="_Toc513029227"/>
      <w:r/>
      <w:bookmarkStart w:id="29" w:name="_Toc20823299"/>
      <w:r/>
      <w:bookmarkStart w:id="30" w:name="_Toc16938543"/>
      <w:r>
        <w:rPr>
          <w:rFonts w:ascii="宋体" w:hAnsi="宋体"/>
          <w:b/>
          <w:color w:val="000000" w:themeColor="text1"/>
          <w:szCs w:val="21"/>
          <w:highlight w:val="none"/>
          <w14:textFill>
            <w14:solidFill>
              <w14:schemeClr w14:val="tx1"/>
            </w14:solidFill>
          </w14:textFill>
        </w:rPr>
        <w:t xml:space="preserve">19</w:t>
      </w:r>
      <w:r>
        <w:rPr>
          <w:rFonts w:hint="eastAsia" w:ascii="宋体" w:hAnsi="宋体"/>
          <w:b/>
          <w:color w:val="000000" w:themeColor="text1"/>
          <w:szCs w:val="21"/>
          <w:highlight w:val="none"/>
          <w14:textFill>
            <w14:solidFill>
              <w14:schemeClr w14:val="tx1"/>
            </w14:solidFill>
          </w14:textFill>
        </w:rPr>
        <w:t xml:space="preserve">、投标文件</w:t>
      </w:r>
      <w:bookmarkEnd w:id="28"/>
      <w:r/>
      <w:bookmarkEnd w:id="29"/>
      <w:r/>
      <w:bookmarkEnd w:id="30"/>
      <w:r>
        <w:rPr>
          <w:rFonts w:hint="eastAsia" w:ascii="宋体" w:hAnsi="宋体"/>
          <w:b/>
          <w:color w:val="000000" w:themeColor="text1"/>
          <w:szCs w:val="21"/>
          <w:highlight w:val="none"/>
          <w14:textFill>
            <w14:solidFill>
              <w14:schemeClr w14:val="tx1"/>
            </w14:solidFill>
          </w14:textFill>
        </w:rPr>
        <w:t xml:space="preserve">的拒收</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19.1</w:t>
      </w:r>
      <w:r>
        <w:rPr>
          <w:rFonts w:hint="eastAsia" w:ascii="宋体" w:hAnsi="宋体"/>
          <w:bCs/>
          <w:color w:val="000000" w:themeColor="text1"/>
          <w:szCs w:val="21"/>
          <w:highlight w:val="none"/>
          <w14:textFill>
            <w14:solidFill>
              <w14:schemeClr w14:val="tx1"/>
            </w14:solidFill>
          </w14:textFill>
        </w:rPr>
        <w:t xml:space="preserve">代理机构拒绝接收在其规定的投标截止时间后上传的任何投标文件。</w:t>
      </w:r>
      <w:r/>
    </w:p>
    <w:p>
      <w:pPr>
        <w:ind w:firstLine="422"/>
        <w:spacing w:line="440" w:lineRule="exact"/>
        <w:rPr>
          <w:rFonts w:ascii="宋体"/>
          <w:b/>
          <w:color w:val="000000" w:themeColor="text1"/>
          <w:szCs w:val="21"/>
          <w:highlight w:val="none"/>
          <w14:textFill>
            <w14:solidFill>
              <w14:schemeClr w14:val="tx1"/>
            </w14:solidFill>
          </w14:textFill>
        </w:rPr>
      </w:pPr>
      <w:r/>
      <w:bookmarkStart w:id="31" w:name="_Toc16938544"/>
      <w:r/>
      <w:bookmarkStart w:id="32" w:name="_Toc20823300"/>
      <w:r/>
      <w:bookmarkStart w:id="33" w:name="_Toc513029228"/>
      <w:r>
        <w:rPr>
          <w:rFonts w:ascii="宋体" w:hAnsi="宋体"/>
          <w:b/>
          <w:color w:val="000000" w:themeColor="text1"/>
          <w:szCs w:val="21"/>
          <w:highlight w:val="none"/>
          <w14:textFill>
            <w14:solidFill>
              <w14:schemeClr w14:val="tx1"/>
            </w14:solidFill>
          </w14:textFill>
        </w:rPr>
        <w:t xml:space="preserve">20</w:t>
      </w:r>
      <w:r>
        <w:rPr>
          <w:rFonts w:hint="eastAsia" w:ascii="宋体" w:hAnsi="宋体"/>
          <w:b/>
          <w:color w:val="000000" w:themeColor="text1"/>
          <w:szCs w:val="21"/>
          <w:highlight w:val="none"/>
          <w14:textFill>
            <w14:solidFill>
              <w14:schemeClr w14:val="tx1"/>
            </w14:solidFill>
          </w14:textFill>
        </w:rPr>
        <w:t xml:space="preserve">、投标文件的撤回和修改</w:t>
      </w:r>
      <w:bookmarkEnd w:id="31"/>
      <w:r/>
      <w:bookmarkEnd w:id="32"/>
      <w:r/>
      <w:bookmarkEnd w:id="33"/>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20.1 </w:t>
      </w:r>
      <w:r>
        <w:rPr>
          <w:rFonts w:hint="eastAsia" w:ascii="宋体" w:hAnsi="宋体"/>
          <w:bCs/>
          <w:color w:val="000000" w:themeColor="text1"/>
          <w:szCs w:val="21"/>
          <w:highlight w:val="none"/>
          <w14:textFill>
            <w14:solidFill>
              <w14:schemeClr w14:val="tx1"/>
            </w14:solidFill>
          </w14:textFill>
        </w:rPr>
        <w:t xml:space="preserve">投标文件的撤回</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20.1.1 </w:t>
      </w:r>
      <w:r>
        <w:rPr>
          <w:rFonts w:hint="eastAsia" w:ascii="宋体" w:hAnsi="宋体"/>
          <w:bCs/>
          <w:color w:val="000000" w:themeColor="text1"/>
          <w:szCs w:val="21"/>
          <w:highlight w:val="none"/>
          <w14:textFill>
            <w14:solidFill>
              <w14:schemeClr w14:val="tx1"/>
            </w14:solidFill>
          </w14:textFill>
        </w:rPr>
        <w:t xml:space="preserve">电子投标文件的撤回</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投标人可在投标截止时间前，撤回其电子投标文件，具体操作方法见《操作手册》。</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20.1.2 </w:t>
      </w:r>
      <w:r>
        <w:rPr>
          <w:rFonts w:hint="eastAsia" w:ascii="宋体" w:hAnsi="宋体"/>
          <w:bCs/>
          <w:color w:val="000000" w:themeColor="text1"/>
          <w:szCs w:val="21"/>
          <w:highlight w:val="none"/>
          <w14:textFill>
            <w14:solidFill>
              <w14:schemeClr w14:val="tx1"/>
            </w14:solidFill>
          </w14:textFill>
        </w:rPr>
        <w:t xml:space="preserve">投标人撤回电子投标文件，则认为其不再参与本项目投标活动。</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20.2 </w:t>
      </w:r>
      <w:r>
        <w:rPr>
          <w:rFonts w:hint="eastAsia" w:ascii="宋体" w:hAnsi="宋体"/>
          <w:bCs/>
          <w:color w:val="000000" w:themeColor="text1"/>
          <w:szCs w:val="21"/>
          <w:highlight w:val="none"/>
          <w14:textFill>
            <w14:solidFill>
              <w14:schemeClr w14:val="tx1"/>
            </w14:solidFill>
          </w14:textFill>
        </w:rPr>
        <w:t xml:space="preserve">投标文件的修改</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投标人可在投标截止时间前，对其电子投标文件进行修改，具体操作方法见《操作手册》。</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20.3 </w:t>
      </w:r>
      <w:r>
        <w:rPr>
          <w:rFonts w:hint="eastAsia" w:ascii="宋体" w:hAnsi="宋体"/>
          <w:bCs/>
          <w:color w:val="000000" w:themeColor="text1"/>
          <w:szCs w:val="21"/>
          <w:highlight w:val="none"/>
          <w14:textFill>
            <w14:solidFill>
              <w14:schemeClr w14:val="tx1"/>
            </w14:solidFill>
          </w14:textFill>
        </w:rPr>
        <w:t xml:space="preserve">在投标截止时间之后，投标人不得对其电子投标文件作任何修改。</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20.4</w:t>
      </w:r>
      <w:r>
        <w:rPr>
          <w:rFonts w:hint="eastAsia" w:ascii="宋体" w:hAnsi="宋体"/>
          <w:bCs/>
          <w:color w:val="000000" w:themeColor="text1"/>
          <w:szCs w:val="21"/>
          <w:highlight w:val="none"/>
          <w14:textFill>
            <w14:solidFill>
              <w14:schemeClr w14:val="tx1"/>
            </w14:solidFill>
          </w14:textFill>
        </w:rPr>
        <w:t xml:space="preserve">在投标截止时间至招标文件中规定的投标有效期满之间的这段时间内，投标人不得撤回其投标。</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21</w:t>
      </w:r>
      <w:r>
        <w:rPr>
          <w:rFonts w:hint="eastAsia" w:ascii="宋体" w:hAnsi="宋体"/>
          <w:b/>
          <w:color w:val="000000" w:themeColor="text1"/>
          <w:szCs w:val="21"/>
          <w:highlight w:val="none"/>
          <w14:textFill>
            <w14:solidFill>
              <w14:schemeClr w14:val="tx1"/>
            </w14:solidFill>
          </w14:textFill>
        </w:rPr>
        <w:t xml:space="preserve">、开标</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21.1</w:t>
      </w:r>
      <w:r>
        <w:rPr>
          <w:rFonts w:hint="eastAsia" w:ascii="宋体" w:hAnsi="宋体"/>
          <w:bCs/>
          <w:color w:val="000000" w:themeColor="text1"/>
          <w:szCs w:val="21"/>
          <w:highlight w:val="none"/>
          <w14:textFill>
            <w14:solidFill>
              <w14:schemeClr w14:val="tx1"/>
            </w14:solidFill>
          </w14:textFill>
        </w:rPr>
        <w:t xml:space="preserve">代理机构将在招标公告中规定的时间和地点组织公开开标。投标人应当按照《操作手册》规定，参加开标活动。投标人未参加开标的，视同认可开标结果。</w:t>
      </w:r>
      <w:r/>
    </w:p>
    <w:p>
      <w:pPr>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ascii="宋体" w:hAnsi="宋体"/>
          <w:b/>
          <w:color w:val="000000" w:themeColor="text1"/>
          <w:szCs w:val="21"/>
          <w:highlight w:val="none"/>
          <w14:textFill>
            <w14:solidFill>
              <w14:schemeClr w14:val="tx1"/>
            </w14:solidFill>
          </w14:textFill>
        </w:rPr>
        <w:t xml:space="preserve">21.2</w:t>
      </w:r>
      <w:r>
        <w:rPr>
          <w:rFonts w:hint="eastAsia" w:ascii="宋体" w:hAnsi="宋体"/>
          <w:b/>
          <w:color w:val="000000" w:themeColor="text1"/>
          <w:szCs w:val="21"/>
          <w:highlight w:val="none"/>
          <w14:textFill>
            <w14:solidFill>
              <w14:schemeClr w14:val="tx1"/>
            </w14:solidFill>
          </w14:textFill>
        </w:rPr>
        <w:t xml:space="preserve">开标仪式由代理机构组织。“政府采购管理交易系统（苏采云）”将自动对项目进行开标，并宣读各投标人的《开标一览表》。</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21.3</w:t>
      </w:r>
      <w:r>
        <w:rPr>
          <w:rFonts w:hint="eastAsia" w:ascii="宋体" w:hAnsi="宋体"/>
          <w:bCs/>
          <w:color w:val="000000" w:themeColor="text1"/>
          <w:szCs w:val="21"/>
          <w:highlight w:val="none"/>
          <w14:textFill>
            <w14:solidFill>
              <w14:schemeClr w14:val="tx1"/>
            </w14:solidFill>
          </w14:textFill>
        </w:rPr>
        <w:t xml:space="preserve">投标人在开标过程中涉及到的投标文件解密、开标结果确认等工作，应按照《操作手册》规定执行。</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21.4</w:t>
      </w:r>
      <w:r>
        <w:rPr>
          <w:rFonts w:hint="eastAsia" w:ascii="宋体" w:hAnsi="宋体"/>
          <w:bCs/>
          <w:color w:val="000000" w:themeColor="text1"/>
          <w:szCs w:val="21"/>
          <w:highlight w:val="none"/>
          <w14:textFill>
            <w14:solidFill>
              <w14:schemeClr w14:val="tx1"/>
            </w14:solidFill>
          </w14:textFill>
        </w:rPr>
        <w:t xml:space="preserve">投标人如果对开标过程和开标记录有疑义，应当根据《操作手册》规定提出，</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“政府采购管理交易系统（苏采云）”中《开标记录表》宣布后</w:t>
      </w:r>
      <w:r>
        <w:rPr>
          <w:rFonts w:ascii="宋体" w:hAnsi="宋体"/>
          <w:bCs/>
          <w:color w:val="000000" w:themeColor="text1"/>
          <w:szCs w:val="21"/>
          <w:highlight w:val="none"/>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分钟内未提出的，视同认可开标结果。</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22</w:t>
      </w:r>
      <w:r>
        <w:rPr>
          <w:rFonts w:hint="eastAsia" w:ascii="宋体" w:hAnsi="宋体"/>
          <w:b/>
          <w:color w:val="000000" w:themeColor="text1"/>
          <w:szCs w:val="21"/>
          <w:highlight w:val="none"/>
          <w14:textFill>
            <w14:solidFill>
              <w14:schemeClr w14:val="tx1"/>
            </w14:solidFill>
          </w14:textFill>
        </w:rPr>
        <w:t xml:space="preserve">、评标委员会</w:t>
      </w:r>
      <w:r/>
    </w:p>
    <w:p>
      <w:pPr>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22.1 </w:t>
      </w:r>
      <w:r>
        <w:rPr>
          <w:rFonts w:hint="eastAsia" w:ascii="宋体" w:hAnsi="宋体"/>
          <w:bCs/>
          <w:color w:val="000000" w:themeColor="text1"/>
          <w:szCs w:val="21"/>
          <w:highlight w:val="none"/>
          <w14:textFill>
            <w14:solidFill>
              <w14:schemeClr w14:val="tx1"/>
            </w14:solidFill>
          </w14:textFill>
        </w:rPr>
        <w:t xml:space="preserve">开标后，代理机构将立即组织评标委员会（以下简称评委会）进行评标。</w:t>
      </w:r>
      <w:r/>
    </w:p>
    <w:p>
      <w:pPr>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22.2</w:t>
      </w:r>
      <w:r>
        <w:rPr>
          <w:rFonts w:hint="eastAsia" w:ascii="宋体" w:hAnsi="宋体"/>
          <w:bCs/>
          <w:color w:val="000000" w:themeColor="text1"/>
          <w:szCs w:val="21"/>
          <w:highlight w:val="none"/>
          <w14:textFill>
            <w14:solidFill>
              <w14:schemeClr w14:val="tx1"/>
            </w14:solidFill>
          </w14:textFill>
        </w:rPr>
        <w:t xml:space="preserve">评委会由采购人代表和有关技术、经济等方面的专家组成，且人员构成符合政府采购有关规定。</w:t>
      </w:r>
      <w:r/>
    </w:p>
    <w:p>
      <w:pPr>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22.3</w:t>
      </w:r>
      <w:r>
        <w:rPr>
          <w:rFonts w:hint="eastAsia" w:ascii="宋体" w:hAnsi="宋体"/>
          <w:bCs/>
          <w:color w:val="000000" w:themeColor="text1"/>
          <w:szCs w:val="21"/>
          <w:highlight w:val="none"/>
          <w14:textFill>
            <w14:solidFill>
              <w14:schemeClr w14:val="tx1"/>
            </w14:solidFill>
          </w14:textFill>
        </w:rPr>
        <w:t xml:space="preserve">评委会独立工作，负责评审所有投标文件并确定中标候选人。</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23</w:t>
      </w:r>
      <w:r>
        <w:rPr>
          <w:rFonts w:hint="eastAsia" w:ascii="宋体" w:hAnsi="宋体"/>
          <w:b/>
          <w:color w:val="000000" w:themeColor="text1"/>
          <w:szCs w:val="21"/>
          <w:highlight w:val="none"/>
          <w14:textFill>
            <w14:solidFill>
              <w14:schemeClr w14:val="tx1"/>
            </w14:solidFill>
          </w14:textFill>
        </w:rPr>
        <w:t xml:space="preserve">、评标过程的保密与公正</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23.1</w:t>
      </w:r>
      <w:r>
        <w:rPr>
          <w:rFonts w:hint="eastAsia" w:ascii="宋体" w:hAnsi="宋体"/>
          <w:bCs/>
          <w:color w:val="000000" w:themeColor="text1"/>
          <w:szCs w:val="21"/>
          <w:highlight w:val="none"/>
          <w14:textFill>
            <w14:solidFill>
              <w14:schemeClr w14:val="tx1"/>
            </w14:solidFill>
          </w14:textFill>
        </w:rPr>
        <w:t xml:space="preserve">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23.2</w:t>
      </w:r>
      <w:r>
        <w:rPr>
          <w:rFonts w:hint="eastAsia" w:ascii="宋体" w:hAnsi="宋体"/>
          <w:bCs/>
          <w:color w:val="000000" w:themeColor="text1"/>
          <w:szCs w:val="21"/>
          <w:highlight w:val="none"/>
          <w14:textFill>
            <w14:solidFill>
              <w14:schemeClr w14:val="tx1"/>
            </w14:solidFill>
          </w14:textFill>
        </w:rPr>
        <w:t xml:space="preserve">在评标过程中，投标人不得以任何行为影响评标过程，否则其投标文件将被作为无效投标文件。</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23.3 </w:t>
      </w:r>
      <w:r>
        <w:rPr>
          <w:rFonts w:hint="eastAsia" w:ascii="宋体" w:hAnsi="宋体"/>
          <w:bCs/>
          <w:color w:val="000000" w:themeColor="text1"/>
          <w:szCs w:val="21"/>
          <w:highlight w:val="none"/>
          <w14:textFill>
            <w14:solidFill>
              <w14:schemeClr w14:val="tx1"/>
            </w14:solidFill>
          </w14:textFill>
        </w:rPr>
        <w:t xml:space="preserve">在评标期间，代理机构将设专门工作人员与投标人联系。</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23.4 </w:t>
      </w:r>
      <w:r>
        <w:rPr>
          <w:rFonts w:hint="eastAsia" w:ascii="宋体" w:hAnsi="宋体"/>
          <w:bCs/>
          <w:color w:val="000000" w:themeColor="text1"/>
          <w:szCs w:val="21"/>
          <w:highlight w:val="none"/>
          <w14:textFill>
            <w14:solidFill>
              <w14:schemeClr w14:val="tx1"/>
            </w14:solidFill>
          </w14:textFill>
        </w:rPr>
        <w:t xml:space="preserve">代理机构和评委会不向未中标的投标人解释未中标原因，也不公布评标过程中的相关细节。</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23.5</w:t>
      </w:r>
      <w:r>
        <w:rPr>
          <w:rFonts w:hint="eastAsia" w:ascii="宋体" w:hAnsi="宋体"/>
          <w:bCs/>
          <w:color w:val="000000" w:themeColor="text1"/>
          <w:szCs w:val="21"/>
          <w:highlight w:val="none"/>
          <w14:textFill>
            <w14:solidFill>
              <w14:schemeClr w14:val="tx1"/>
            </w14:solidFill>
          </w14:textFill>
        </w:rPr>
        <w:t xml:space="preserve">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24</w:t>
      </w:r>
      <w:r>
        <w:rPr>
          <w:rFonts w:hint="eastAsia" w:ascii="宋体" w:hAnsi="宋体"/>
          <w:b/>
          <w:color w:val="000000" w:themeColor="text1"/>
          <w:szCs w:val="21"/>
          <w:highlight w:val="none"/>
          <w14:textFill>
            <w14:solidFill>
              <w14:schemeClr w14:val="tx1"/>
            </w14:solidFill>
          </w14:textFill>
        </w:rPr>
        <w:t xml:space="preserve">、投标的澄清</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24.1</w:t>
      </w:r>
      <w:r>
        <w:rPr>
          <w:rFonts w:hint="eastAsia" w:ascii="宋体" w:hAnsi="宋体"/>
          <w:bCs/>
          <w:color w:val="000000" w:themeColor="text1"/>
          <w:szCs w:val="21"/>
          <w:highlight w:val="none"/>
          <w14:textFill>
            <w14:solidFill>
              <w14:schemeClr w14:val="tx1"/>
            </w14:solidFill>
          </w14:textFill>
        </w:rPr>
        <w:t xml:space="preserve">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24.2</w:t>
      </w:r>
      <w:r>
        <w:rPr>
          <w:rFonts w:hint="eastAsia" w:ascii="宋体" w:hAnsi="宋体"/>
          <w:bCs/>
          <w:color w:val="000000" w:themeColor="text1"/>
          <w:szCs w:val="21"/>
          <w:highlight w:val="none"/>
          <w14:textFill>
            <w14:solidFill>
              <w14:schemeClr w14:val="tx1"/>
            </w14:solidFill>
          </w14:textFill>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24.3 </w:t>
      </w:r>
      <w:r>
        <w:rPr>
          <w:rFonts w:hint="eastAsia" w:ascii="宋体" w:hAnsi="宋体"/>
          <w:bCs/>
          <w:color w:val="000000" w:themeColor="text1"/>
          <w:szCs w:val="21"/>
          <w:highlight w:val="none"/>
          <w14:textFill>
            <w14:solidFill>
              <w14:schemeClr w14:val="tx1"/>
            </w14:solidFill>
          </w14:textFill>
        </w:rPr>
        <w:t xml:space="preserve">接到评委会澄清要求的投标人如未按规定做出澄清，其风险由投标人自行承担。</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25</w:t>
      </w:r>
      <w:r>
        <w:rPr>
          <w:rFonts w:hint="eastAsia" w:ascii="宋体" w:hAnsi="宋体"/>
          <w:b/>
          <w:color w:val="000000" w:themeColor="text1"/>
          <w:szCs w:val="21"/>
          <w:highlight w:val="none"/>
          <w14:textFill>
            <w14:solidFill>
              <w14:schemeClr w14:val="tx1"/>
            </w14:solidFill>
          </w14:textFill>
        </w:rPr>
        <w:t xml:space="preserve">、对投标文件的初审</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25.1</w:t>
      </w:r>
      <w:r>
        <w:rPr>
          <w:rFonts w:hint="eastAsia" w:ascii="宋体" w:hAnsi="宋体"/>
          <w:bCs/>
          <w:color w:val="000000" w:themeColor="text1"/>
          <w:szCs w:val="21"/>
          <w:highlight w:val="none"/>
          <w14:textFill>
            <w14:solidFill>
              <w14:schemeClr w14:val="tx1"/>
            </w14:solidFill>
          </w14:textFill>
        </w:rPr>
        <w:t xml:space="preserve">投标文件初审分为资格审查和符合性审查。</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25.1.1</w:t>
      </w:r>
      <w:r>
        <w:rPr>
          <w:rFonts w:hint="eastAsia" w:ascii="宋体" w:hAnsi="宋体"/>
          <w:bCs/>
          <w:color w:val="000000" w:themeColor="text1"/>
          <w:szCs w:val="21"/>
          <w:highlight w:val="none"/>
          <w14:textFill>
            <w14:solidFill>
              <w14:schemeClr w14:val="tx1"/>
            </w14:solidFill>
          </w14:textFill>
        </w:rPr>
        <w:t xml:space="preserve">资格审查：依据法律法规和招标文件的规定，由采购人对投标文件中的资格证明文件进行审查。并将审查结论以书面形式向评委会反馈。</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采购人在进行资格性审查的同时，将在“信用中国”网站（</w:t>
      </w:r>
      <w:r>
        <w:rPr>
          <w:rFonts w:ascii="宋体" w:hAnsi="宋体"/>
          <w:bCs/>
          <w:color w:val="000000" w:themeColor="text1"/>
          <w:szCs w:val="21"/>
          <w:highlight w:val="none"/>
          <w14:textFill>
            <w14:solidFill>
              <w14:schemeClr w14:val="tx1"/>
            </w14:solidFill>
          </w14:textFill>
        </w:rPr>
        <w:t xml:space="preserve">www.creditchina.gov.cn</w:t>
      </w:r>
      <w:r>
        <w:rPr>
          <w:rFonts w:hint="eastAsia" w:ascii="宋体" w:hAnsi="宋体"/>
          <w:bCs/>
          <w:color w:val="000000" w:themeColor="text1"/>
          <w:szCs w:val="21"/>
          <w:highlight w:val="none"/>
          <w14:textFill>
            <w14:solidFill>
              <w14:schemeClr w14:val="tx1"/>
            </w14:solidFill>
          </w14:textFill>
        </w:rPr>
        <w:t xml:space="preserve">）、“中国政府采购网</w:t>
      </w:r>
      <w:r>
        <w:rPr>
          <w:rFonts w:ascii="宋体" w:hAnsi="宋体"/>
          <w:bCs/>
          <w:color w:val="000000" w:themeColor="text1"/>
          <w:szCs w:val="21"/>
          <w:highlight w:val="none"/>
          <w14:textFill>
            <w14:solidFill>
              <w14:schemeClr w14:val="tx1"/>
            </w14:solidFill>
          </w14:textFill>
        </w:rPr>
        <w:t xml:space="preserve">"(www.ccgp.gov.cn)</w:t>
      </w:r>
      <w:r>
        <w:rPr>
          <w:rFonts w:hint="eastAsia" w:ascii="宋体" w:hAnsi="宋体"/>
          <w:bCs/>
          <w:color w:val="000000" w:themeColor="text1"/>
          <w:szCs w:val="21"/>
          <w:highlight w:val="none"/>
          <w14:textFill>
            <w14:solidFill>
              <w14:schemeClr w14:val="tx1"/>
            </w14:solidFill>
          </w14:textFill>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若接受联合体投标的项目，两个以上的自然人、法人或者其他组织组成一个联合体，以一个供应商的身份共同参加政府采购活动的</w:t>
      </w:r>
      <w:r>
        <w:rPr>
          <w:rFonts w:asci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联合体成员存在不良信用记录的，视同联合体存在不良信用记录。</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25.1.2</w:t>
      </w:r>
      <w:r>
        <w:rPr>
          <w:rFonts w:hint="eastAsia" w:ascii="宋体" w:hAnsi="宋体"/>
          <w:bCs/>
          <w:color w:val="000000" w:themeColor="text1"/>
          <w:szCs w:val="21"/>
          <w:highlight w:val="none"/>
          <w14:textFill>
            <w14:solidFill>
              <w14:schemeClr w14:val="tx1"/>
            </w14:solidFill>
          </w14:textFill>
        </w:rPr>
        <w:t xml:space="preserve">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25.1.3</w:t>
      </w:r>
      <w:r>
        <w:rPr>
          <w:rFonts w:hint="eastAsia" w:ascii="宋体" w:hAnsi="宋体"/>
          <w:bCs/>
          <w:color w:val="000000" w:themeColor="text1"/>
          <w:szCs w:val="21"/>
          <w:highlight w:val="none"/>
          <w14:textFill>
            <w14:solidFill>
              <w14:schemeClr w14:val="tx1"/>
            </w14:solidFill>
          </w14:textFill>
        </w:rPr>
        <w:t xml:space="preserve">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25.2</w:t>
      </w:r>
      <w:r>
        <w:rPr>
          <w:rFonts w:hint="eastAsia" w:ascii="宋体" w:hAnsi="宋体"/>
          <w:bCs/>
          <w:color w:val="000000" w:themeColor="text1"/>
          <w:szCs w:val="21"/>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25.3</w:t>
      </w:r>
      <w:r>
        <w:rPr>
          <w:rFonts w:hint="eastAsia" w:ascii="宋体" w:hAnsi="宋体"/>
          <w:bCs/>
          <w:color w:val="000000" w:themeColor="text1"/>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25.4</w:t>
      </w:r>
      <w:r>
        <w:rPr>
          <w:rFonts w:hint="eastAsia" w:ascii="宋体" w:hAnsi="宋体"/>
          <w:bCs/>
          <w:color w:val="000000" w:themeColor="text1"/>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）投标文件中开标一览表内容与投标文件中相应内容不一致的，以开标一览表为准。</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）大写金额与小写金额不一致的，以大写金额为准。</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）单价金额小数点或者百分比有明显错位的，以开标一览表的总价为准，并修改单价。</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）总价金额与按单价汇总金额不一致的，以单价金额计算结果为准。</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同时出现两种以上错误的，按照前款规定的顺序修正。</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25.5</w:t>
      </w:r>
      <w:r>
        <w:rPr>
          <w:rFonts w:hint="eastAsia" w:ascii="宋体" w:hAnsi="宋体"/>
          <w:bCs/>
          <w:color w:val="000000" w:themeColor="text1"/>
          <w:szCs w:val="21"/>
          <w:highlight w:val="none"/>
          <w14:textFill>
            <w14:solidFill>
              <w14:schemeClr w14:val="tx1"/>
            </w14:solidFill>
          </w14:textFill>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25.6</w:t>
      </w:r>
      <w:r>
        <w:rPr>
          <w:rFonts w:hint="eastAsia" w:ascii="宋体" w:hAnsi="宋体"/>
          <w:bCs/>
          <w:color w:val="000000" w:themeColor="text1"/>
          <w:szCs w:val="21"/>
          <w:highlight w:val="none"/>
          <w14:textFill>
            <w14:solidFill>
              <w14:schemeClr w14:val="tx1"/>
            </w14:solidFill>
          </w14:textFill>
        </w:rPr>
        <w:t xml:space="preserve">评委会将允许修正投标文件中不构成重大偏离的、微小的、非正规的、不一致的或不规则的地方，但这些修改不能影响任何投标人相应的名次排列。</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25.7</w:t>
      </w:r>
      <w:r>
        <w:rPr>
          <w:rFonts w:hint="eastAsia" w:ascii="宋体" w:hAnsi="宋体"/>
          <w:bCs/>
          <w:color w:val="000000" w:themeColor="text1"/>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25.8 </w:t>
      </w:r>
      <w:r>
        <w:rPr>
          <w:rFonts w:hint="eastAsia" w:ascii="宋体" w:hAnsi="宋体"/>
          <w:bCs/>
          <w:color w:val="000000" w:themeColor="text1"/>
          <w:szCs w:val="21"/>
          <w:highlight w:val="none"/>
          <w14:textFill>
            <w14:solidFill>
              <w14:schemeClr w14:val="tx1"/>
            </w14:solidFill>
          </w14:textFill>
        </w:rPr>
        <w:t xml:space="preserve">投标人在开、评标全过程中应保持通讯畅通，并安排专人与代理机构及评委会联系。</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26</w:t>
      </w:r>
      <w:r>
        <w:rPr>
          <w:rFonts w:hint="eastAsia" w:ascii="宋体" w:hAnsi="宋体"/>
          <w:b/>
          <w:color w:val="000000" w:themeColor="text1"/>
          <w:szCs w:val="21"/>
          <w:highlight w:val="none"/>
          <w14:textFill>
            <w14:solidFill>
              <w14:schemeClr w14:val="tx1"/>
            </w14:solidFill>
          </w14:textFill>
        </w:rPr>
        <w:t xml:space="preserve">、无效投标、废标及投标人不足三家的处理</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w:t>
      </w:r>
      <w:r>
        <w:rPr>
          <w:rFonts w:hint="eastAsia" w:ascii="宋体" w:hAnsi="宋体"/>
          <w:bCs/>
          <w:color w:val="000000" w:themeColor="text1"/>
          <w:szCs w:val="21"/>
          <w:highlight w:val="none"/>
          <w14:textFill>
            <w14:solidFill>
              <w14:schemeClr w14:val="tx1"/>
            </w14:solidFill>
          </w14:textFill>
        </w:rPr>
        <w:t xml:space="preserve">无效投标条款</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26.1.1 </w:t>
      </w:r>
      <w:r>
        <w:rPr>
          <w:rFonts w:hint="eastAsia" w:ascii="宋体" w:hAnsi="宋体"/>
          <w:bCs/>
          <w:color w:val="000000" w:themeColor="text1"/>
          <w:szCs w:val="21"/>
          <w:highlight w:val="none"/>
          <w14:textFill>
            <w14:solidFill>
              <w14:schemeClr w14:val="tx1"/>
            </w14:solidFill>
          </w14:textFill>
        </w:rPr>
        <w:t xml:space="preserve">投标人未成功解密电子投标文件的。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26.1.2 </w:t>
      </w:r>
      <w:r>
        <w:rPr>
          <w:rFonts w:hint="eastAsia" w:ascii="宋体" w:hAnsi="宋体"/>
          <w:bCs/>
          <w:color w:val="000000" w:themeColor="text1"/>
          <w:szCs w:val="21"/>
          <w:highlight w:val="none"/>
          <w14:textFill>
            <w14:solidFill>
              <w14:schemeClr w14:val="tx1"/>
            </w14:solidFill>
          </w14:textFill>
        </w:rPr>
        <w:t xml:space="preserve">投标人未按照招标文件要求上传电子投标文件的。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26.1.3</w:t>
      </w:r>
      <w:r>
        <w:rPr>
          <w:rFonts w:hint="eastAsia" w:ascii="宋体" w:hAnsi="宋体"/>
          <w:bCs/>
          <w:color w:val="000000" w:themeColor="text1"/>
          <w:szCs w:val="21"/>
          <w:highlight w:val="none"/>
          <w14:textFill>
            <w14:solidFill>
              <w14:schemeClr w14:val="tx1"/>
            </w14:solidFill>
          </w14:textFill>
        </w:rPr>
        <w:t xml:space="preserve">投标人在报价时采用选择性报价的。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26.1.4</w:t>
      </w:r>
      <w:r>
        <w:rPr>
          <w:rFonts w:hint="eastAsia" w:ascii="宋体" w:hAnsi="宋体"/>
          <w:bCs/>
          <w:color w:val="000000" w:themeColor="text1"/>
          <w:szCs w:val="21"/>
          <w:highlight w:val="none"/>
          <w14:textFill>
            <w14:solidFill>
              <w14:schemeClr w14:val="tx1"/>
            </w14:solidFill>
          </w14:textFill>
        </w:rPr>
        <w:t xml:space="preserve">投标人不具备招标文件中规定资格要求的。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26.1.5</w:t>
      </w:r>
      <w:r>
        <w:rPr>
          <w:rFonts w:hint="eastAsia" w:ascii="宋体" w:hAnsi="宋体"/>
          <w:bCs/>
          <w:color w:val="000000" w:themeColor="text1"/>
          <w:szCs w:val="21"/>
          <w:highlight w:val="none"/>
          <w14:textFill>
            <w14:solidFill>
              <w14:schemeClr w14:val="tx1"/>
            </w14:solidFill>
          </w14:textFill>
        </w:rPr>
        <w:t xml:space="preserve">投标人的报价超过了采购预算或最高限价的。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26.1.6</w:t>
      </w:r>
      <w:r>
        <w:rPr>
          <w:rFonts w:hint="eastAsia" w:ascii="宋体" w:hAnsi="宋体"/>
          <w:bCs/>
          <w:color w:val="000000" w:themeColor="text1"/>
          <w:szCs w:val="21"/>
          <w:highlight w:val="none"/>
          <w14:textFill>
            <w14:solidFill>
              <w14:schemeClr w14:val="tx1"/>
            </w14:solidFill>
          </w14:textFill>
        </w:rPr>
        <w:t xml:space="preserve">未通过符合性审查的。</w:t>
      </w:r>
      <w:r/>
    </w:p>
    <w:p>
      <w:pPr>
        <w:ind w:firstLine="420"/>
        <w:spacing w:line="440" w:lineRule="exact"/>
        <w:rPr>
          <w:rFonts w:ascii="宋体"/>
          <w:b/>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26.1.7</w:t>
      </w:r>
      <w:r>
        <w:rPr>
          <w:rFonts w:hint="eastAsia" w:ascii="宋体" w:hAnsi="宋体"/>
          <w:bCs/>
          <w:color w:val="000000" w:themeColor="text1"/>
          <w:szCs w:val="21"/>
          <w:highlight w:val="none"/>
          <w14:textFill>
            <w14:solidFill>
              <w14:schemeClr w14:val="tx1"/>
            </w14:solidFill>
          </w14:textFill>
        </w:rPr>
        <w:t xml:space="preserve">不符合招标文件中规定的其他实质性要求和条件的</w:t>
      </w: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b/>
          <w:i/>
          <w:iCs/>
          <w:color w:val="000000" w:themeColor="text1"/>
          <w:szCs w:val="21"/>
          <w:highlight w:val="none"/>
          <w:u w:val="single"/>
          <w14:textFill>
            <w14:solidFill>
              <w14:schemeClr w14:val="tx1"/>
            </w14:solidFill>
          </w14:textFill>
        </w:rPr>
        <w:t xml:space="preserve">本招标文件中斜体且有下划线部分为实质性要求和条件</w:t>
      </w:r>
      <w:r>
        <w:rPr>
          <w:rFonts w:hint="eastAsia" w:ascii="宋体" w:hAnsi="宋体"/>
          <w:b/>
          <w:color w:val="000000" w:themeColor="text1"/>
          <w:szCs w:val="21"/>
          <w:highlight w:val="none"/>
          <w14:textFill>
            <w14:solidFill>
              <w14:schemeClr w14:val="tx1"/>
            </w14:solidFill>
          </w14:textFill>
        </w:rPr>
        <w:t xml:space="preserve">）。</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26.1.8 </w:t>
      </w:r>
      <w:r>
        <w:rPr>
          <w:rFonts w:hint="eastAsia" w:ascii="宋体" w:hAnsi="宋体"/>
          <w:bCs/>
          <w:color w:val="000000" w:themeColor="text1"/>
          <w:szCs w:val="21"/>
          <w:highlight w:val="none"/>
          <w14:textFill>
            <w14:solidFill>
              <w14:schemeClr w14:val="tx1"/>
            </w14:solidFill>
          </w14:textFill>
        </w:rPr>
        <w:t xml:space="preserve">投标人被</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“信用中国”网站（</w:t>
      </w:r>
      <w:r>
        <w:rPr>
          <w:rFonts w:ascii="宋体" w:hAnsi="宋体"/>
          <w:bCs/>
          <w:color w:val="000000" w:themeColor="text1"/>
          <w:szCs w:val="21"/>
          <w:highlight w:val="none"/>
          <w14:textFill>
            <w14:solidFill>
              <w14:schemeClr w14:val="tx1"/>
            </w14:solidFill>
          </w14:textFill>
        </w:rPr>
        <w:t xml:space="preserve">www.creditchina.gov.cn</w:t>
      </w:r>
      <w:r>
        <w:rPr>
          <w:rFonts w:hint="eastAsia" w:ascii="宋体" w:hAnsi="宋体"/>
          <w:bCs/>
          <w:color w:val="000000" w:themeColor="text1"/>
          <w:szCs w:val="21"/>
          <w:highlight w:val="none"/>
          <w14:textFill>
            <w14:solidFill>
              <w14:schemeClr w14:val="tx1"/>
            </w14:solidFill>
          </w14:textFill>
        </w:rPr>
        <w:t xml:space="preserve">）、“中国政府采购网</w:t>
      </w:r>
      <w:r>
        <w:rPr>
          <w:rFonts w:ascii="宋体" w:hAnsi="宋体"/>
          <w:bCs/>
          <w:color w:val="000000" w:themeColor="text1"/>
          <w:szCs w:val="21"/>
          <w:highlight w:val="none"/>
          <w14:textFill>
            <w14:solidFill>
              <w14:schemeClr w14:val="tx1"/>
            </w14:solidFill>
          </w14:textFill>
        </w:rPr>
        <w:t xml:space="preserve">"(www.ccgp.gov.cn)</w:t>
      </w:r>
      <w:r>
        <w:rPr>
          <w:rFonts w:hint="eastAsia" w:ascii="宋体" w:hAnsi="宋体"/>
          <w:bCs/>
          <w:color w:val="000000" w:themeColor="text1"/>
          <w:szCs w:val="21"/>
          <w:highlight w:val="none"/>
          <w14:textFill>
            <w14:solidFill>
              <w14:schemeClr w14:val="tx1"/>
            </w14:solidFill>
          </w14:textFill>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26.1.9  </w:t>
      </w:r>
      <w:r>
        <w:rPr>
          <w:rFonts w:hint="eastAsia" w:ascii="宋体" w:hAnsi="宋体"/>
          <w:bCs/>
          <w:color w:val="000000" w:themeColor="text1"/>
          <w:szCs w:val="21"/>
          <w:highlight w:val="none"/>
          <w14:textFill>
            <w14:solidFill>
              <w14:schemeClr w14:val="tx1"/>
            </w14:solidFill>
          </w14:textFill>
        </w:rPr>
        <w:t xml:space="preserve">投标文件含有采购人不能接受的附加条件的。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26.1.10 </w:t>
      </w:r>
      <w:r>
        <w:rPr>
          <w:rFonts w:hint="eastAsia" w:ascii="宋体" w:hAnsi="宋体"/>
          <w:bCs/>
          <w:color w:val="000000" w:themeColor="text1"/>
          <w:szCs w:val="21"/>
          <w:highlight w:val="none"/>
          <w14:textFill>
            <w14:solidFill>
              <w14:schemeClr w14:val="tx1"/>
            </w14:solidFill>
          </w14:textFill>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26.1.11 </w:t>
      </w:r>
      <w:r>
        <w:rPr>
          <w:rFonts w:hint="eastAsia" w:ascii="宋体" w:hAnsi="宋体"/>
          <w:bCs/>
          <w:color w:val="000000" w:themeColor="text1"/>
          <w:szCs w:val="21"/>
          <w:highlight w:val="none"/>
          <w14:textFill>
            <w14:solidFill>
              <w14:schemeClr w14:val="tx1"/>
            </w14:solidFill>
          </w14:textFill>
        </w:rPr>
        <w:t xml:space="preserve">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26.1.12 </w:t>
      </w:r>
      <w:r>
        <w:rPr>
          <w:rFonts w:hint="eastAsia" w:ascii="宋体" w:hAnsi="宋体"/>
          <w:bCs/>
          <w:color w:val="000000" w:themeColor="text1"/>
          <w:szCs w:val="21"/>
          <w:highlight w:val="none"/>
          <w14:textFill>
            <w14:solidFill>
              <w14:schemeClr w14:val="tx1"/>
            </w14:solidFill>
          </w14:textFill>
        </w:rPr>
        <w:t xml:space="preserve">投标文件未按照招标文件要求加盖电子签章。</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26.1.13</w:t>
      </w:r>
      <w:r>
        <w:rPr>
          <w:rFonts w:hint="eastAsia" w:ascii="宋体" w:hAnsi="宋体"/>
          <w:bCs/>
          <w:color w:val="000000" w:themeColor="text1"/>
          <w:szCs w:val="21"/>
          <w:highlight w:val="none"/>
          <w14:textFill>
            <w14:solidFill>
              <w14:schemeClr w14:val="tx1"/>
            </w14:solidFill>
          </w14:textFill>
        </w:rPr>
        <w:t xml:space="preserve">其他法律、法规及本招标文件规定的属无效投标的情形。</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26.2</w:t>
      </w:r>
      <w:r>
        <w:rPr>
          <w:rFonts w:hint="eastAsia" w:ascii="宋体" w:hAnsi="宋体"/>
          <w:bCs/>
          <w:color w:val="000000" w:themeColor="text1"/>
          <w:szCs w:val="21"/>
          <w:highlight w:val="none"/>
          <w14:textFill>
            <w14:solidFill>
              <w14:schemeClr w14:val="tx1"/>
            </w14:solidFill>
          </w14:textFill>
        </w:rPr>
        <w:t xml:space="preserve">废标条款：</w:t>
      </w:r>
      <w:r/>
    </w:p>
    <w:p>
      <w:pPr>
        <w:ind w:left="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26.2.1</w:t>
      </w:r>
      <w:r>
        <w:rPr>
          <w:rFonts w:hint="eastAsia" w:ascii="宋体" w:hAnsi="宋体"/>
          <w:bCs/>
          <w:color w:val="000000" w:themeColor="text1"/>
          <w:szCs w:val="21"/>
          <w:highlight w:val="none"/>
          <w14:textFill>
            <w14:solidFill>
              <w14:schemeClr w14:val="tx1"/>
            </w14:solidFill>
          </w14:textFill>
        </w:rPr>
        <w:t xml:space="preserve">符合专业条件的供应商或者对招标文件作实质响应的供应商不足三家的。</w:t>
      </w:r>
      <w:r>
        <w:rPr>
          <w:rFonts w:ascii="宋体" w:hAnsi="宋体"/>
          <w:bCs/>
          <w:color w:val="000000" w:themeColor="text1"/>
          <w:szCs w:val="21"/>
          <w:highlight w:val="none"/>
          <w14:textFill>
            <w14:solidFill>
              <w14:schemeClr w14:val="tx1"/>
            </w14:solidFill>
          </w14:textFill>
        </w:rPr>
        <w:t xml:space="preserve">26.2.2</w:t>
      </w:r>
      <w:r>
        <w:rPr>
          <w:rFonts w:hint="eastAsia" w:ascii="宋体" w:hAnsi="宋体"/>
          <w:bCs/>
          <w:color w:val="000000" w:themeColor="text1"/>
          <w:szCs w:val="21"/>
          <w:highlight w:val="none"/>
          <w14:textFill>
            <w14:solidFill>
              <w14:schemeClr w14:val="tx1"/>
            </w14:solidFill>
          </w14:textFill>
        </w:rPr>
        <w:t xml:space="preserve">出现影响采购公正的违法、违规行为的。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26.2.3</w:t>
      </w:r>
      <w:r>
        <w:rPr>
          <w:rFonts w:hint="eastAsia" w:ascii="宋体" w:hAnsi="宋体"/>
          <w:bCs/>
          <w:color w:val="000000" w:themeColor="text1"/>
          <w:szCs w:val="21"/>
          <w:highlight w:val="none"/>
          <w14:textFill>
            <w14:solidFill>
              <w14:schemeClr w14:val="tx1"/>
            </w14:solidFill>
          </w14:textFill>
        </w:rPr>
        <w:t xml:space="preserve">因重大变故，采购任务取消的。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26.2.4</w:t>
      </w:r>
      <w:r>
        <w:rPr>
          <w:rFonts w:hint="eastAsia" w:ascii="宋体" w:hAnsi="宋体"/>
          <w:bCs/>
          <w:color w:val="000000" w:themeColor="text1"/>
          <w:szCs w:val="21"/>
          <w:highlight w:val="none"/>
          <w14:textFill>
            <w14:solidFill>
              <w14:schemeClr w14:val="tx1"/>
            </w14:solidFill>
          </w14:textFill>
        </w:rPr>
        <w:t xml:space="preserve">评委会认定招标文件存在歧义、重大缺陷导致评审工作无法进行。</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26.3 </w:t>
      </w:r>
      <w:r>
        <w:rPr>
          <w:rFonts w:hint="eastAsia" w:ascii="宋体" w:hAnsi="宋体"/>
          <w:bCs/>
          <w:color w:val="000000" w:themeColor="text1"/>
          <w:szCs w:val="21"/>
          <w:highlight w:val="none"/>
          <w14:textFill>
            <w14:solidFill>
              <w14:schemeClr w14:val="tx1"/>
            </w14:solidFill>
          </w14:textFill>
        </w:rPr>
        <w:t xml:space="preserve">投标截止时间结束后参加投标的供应商不足三家的处理：</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26.3.1</w:t>
      </w:r>
      <w:r>
        <w:rPr>
          <w:rFonts w:hint="eastAsia" w:ascii="宋体" w:hAnsi="宋体"/>
          <w:bCs/>
          <w:color w:val="000000" w:themeColor="text1"/>
          <w:szCs w:val="21"/>
          <w:highlight w:val="none"/>
          <w14:textFill>
            <w14:solidFill>
              <w14:schemeClr w14:val="tx1"/>
            </w14:solidFill>
          </w14:textFill>
        </w:rPr>
        <w:t xml:space="preserve">如出现投标截止时间结束后参加投标的供应商或者在评标期间对招标文件做出实质性响应的供应商不足三家情况，按政府采购相关规定执行。</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27</w:t>
      </w:r>
      <w:r>
        <w:rPr>
          <w:rFonts w:hint="eastAsia" w:ascii="宋体" w:hAnsi="宋体"/>
          <w:b/>
          <w:color w:val="000000" w:themeColor="text1"/>
          <w:szCs w:val="21"/>
          <w:highlight w:val="none"/>
          <w14:textFill>
            <w14:solidFill>
              <w14:schemeClr w14:val="tx1"/>
            </w14:solidFill>
          </w14:textFill>
        </w:rPr>
        <w:t xml:space="preserve">、确定中标单位</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27.1</w:t>
      </w:r>
      <w:r>
        <w:rPr>
          <w:rFonts w:hint="eastAsia" w:ascii="宋体" w:hAnsi="宋体"/>
          <w:bCs/>
          <w:color w:val="000000" w:themeColor="text1"/>
          <w:szCs w:val="21"/>
          <w:highlight w:val="none"/>
          <w14:textFill>
            <w14:solidFill>
              <w14:schemeClr w14:val="tx1"/>
            </w14:solidFill>
          </w14:textFill>
        </w:rPr>
        <w:t xml:space="preserve">评委会根据本招标文件规定评标方法与评标标准向采购人推荐出中标候选人。</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27.2 </w:t>
      </w:r>
      <w:r>
        <w:rPr>
          <w:rFonts w:hint="eastAsia" w:ascii="宋体" w:hAnsi="宋体"/>
          <w:bCs/>
          <w:color w:val="000000" w:themeColor="text1"/>
          <w:szCs w:val="21"/>
          <w:highlight w:val="none"/>
          <w14:textFill>
            <w14:solidFill>
              <w14:schemeClr w14:val="tx1"/>
            </w14:solidFill>
          </w14:textFill>
        </w:rPr>
        <w:t xml:space="preserve">采购人应根据评委会推荐的中标候选人确定中标人。</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27.3</w:t>
      </w:r>
      <w:r>
        <w:rPr>
          <w:rFonts w:hint="eastAsia" w:ascii="宋体" w:hAnsi="宋体"/>
          <w:bCs/>
          <w:color w:val="000000" w:themeColor="text1"/>
          <w:szCs w:val="21"/>
          <w:highlight w:val="none"/>
          <w14:textFill>
            <w14:solidFill>
              <w14:schemeClr w14:val="tx1"/>
            </w14:solidFill>
          </w14:textFill>
        </w:rPr>
        <w:t xml:space="preserve">代理机构将在“扬州市政府采购网”、“江都区政府采购网”发布中标公告，公告期限为</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个工作日。</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27.4</w:t>
      </w:r>
      <w:r>
        <w:rPr>
          <w:rFonts w:hint="eastAsia" w:ascii="宋体" w:hAnsi="宋体"/>
          <w:bCs/>
          <w:color w:val="000000" w:themeColor="text1"/>
          <w:szCs w:val="21"/>
          <w:highlight w:val="none"/>
          <w14:textFill>
            <w14:solidFill>
              <w14:schemeClr w14:val="tx1"/>
            </w14:solidFill>
          </w14:textFill>
        </w:rPr>
        <w:t xml:space="preserve">若有充分证据证明，中标人出现下列情况之一的，一经查实，将被取消中标资格：</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27.4.1</w:t>
      </w:r>
      <w:r>
        <w:rPr>
          <w:rFonts w:hint="eastAsia" w:ascii="宋体" w:hAnsi="宋体"/>
          <w:bCs/>
          <w:color w:val="000000" w:themeColor="text1"/>
          <w:szCs w:val="21"/>
          <w:highlight w:val="none"/>
          <w14:textFill>
            <w14:solidFill>
              <w14:schemeClr w14:val="tx1"/>
            </w14:solidFill>
          </w14:textFill>
        </w:rPr>
        <w:t xml:space="preserve">提供虚假材料谋取中标的；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27.4.2</w:t>
      </w:r>
      <w:r>
        <w:rPr>
          <w:rFonts w:hint="eastAsia" w:ascii="宋体" w:hAnsi="宋体"/>
          <w:bCs/>
          <w:color w:val="000000" w:themeColor="text1"/>
          <w:szCs w:val="21"/>
          <w:highlight w:val="none"/>
          <w14:textFill>
            <w14:solidFill>
              <w14:schemeClr w14:val="tx1"/>
            </w14:solidFill>
          </w14:textFill>
        </w:rPr>
        <w:t xml:space="preserve">向采购人、代理机构行贿或者提供其他不正当利益的；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27.4.3</w:t>
      </w:r>
      <w:r>
        <w:rPr>
          <w:rFonts w:hint="eastAsia" w:ascii="宋体" w:hAnsi="宋体"/>
          <w:bCs/>
          <w:color w:val="000000" w:themeColor="text1"/>
          <w:szCs w:val="21"/>
          <w:highlight w:val="none"/>
          <w14:textFill>
            <w14:solidFill>
              <w14:schemeClr w14:val="tx1"/>
            </w14:solidFill>
          </w14:textFill>
        </w:rPr>
        <w:t xml:space="preserve">恶意竞争，投标总报价明显低于其自身合理成本且又无法提供证明的；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27.4.4</w:t>
      </w:r>
      <w:r>
        <w:rPr>
          <w:rFonts w:hint="eastAsia" w:ascii="宋体" w:hAnsi="宋体"/>
          <w:bCs/>
          <w:color w:val="000000" w:themeColor="text1"/>
          <w:szCs w:val="21"/>
          <w:highlight w:val="none"/>
          <w14:textFill>
            <w14:solidFill>
              <w14:schemeClr w14:val="tx1"/>
            </w14:solidFill>
          </w14:textFill>
        </w:rPr>
        <w:t xml:space="preserve">属于本文件规定的无效条件，但在评标过程中又未被评委会发现的；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27.4.5</w:t>
      </w:r>
      <w:r>
        <w:rPr>
          <w:rFonts w:hint="eastAsia" w:ascii="宋体" w:hAnsi="宋体"/>
          <w:bCs/>
          <w:color w:val="000000" w:themeColor="text1"/>
          <w:szCs w:val="21"/>
          <w:highlight w:val="none"/>
          <w14:textFill>
            <w14:solidFill>
              <w14:schemeClr w14:val="tx1"/>
            </w14:solidFill>
          </w14:textFill>
        </w:rPr>
        <w:t xml:space="preserve">与采购人或者其他投标人恶意串通的；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27.4.6</w:t>
      </w:r>
      <w:r>
        <w:rPr>
          <w:rFonts w:hint="eastAsia" w:ascii="宋体" w:hAnsi="宋体"/>
          <w:bCs/>
          <w:color w:val="000000" w:themeColor="text1"/>
          <w:szCs w:val="21"/>
          <w:highlight w:val="none"/>
          <w14:textFill>
            <w14:solidFill>
              <w14:schemeClr w14:val="tx1"/>
            </w14:solidFill>
          </w14:textFill>
        </w:rPr>
        <w:t xml:space="preserve">采取不正当手段诋毁、排挤其他供应商的；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27.4.7</w:t>
      </w:r>
      <w:r>
        <w:rPr>
          <w:rFonts w:hint="eastAsia" w:ascii="宋体" w:hAnsi="宋体"/>
          <w:bCs/>
          <w:color w:val="000000" w:themeColor="text1"/>
          <w:szCs w:val="21"/>
          <w:highlight w:val="none"/>
          <w14:textFill>
            <w14:solidFill>
              <w14:schemeClr w14:val="tx1"/>
            </w14:solidFill>
          </w14:textFill>
        </w:rPr>
        <w:t xml:space="preserve">不符合法律、法规的规定的。</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27.5. </w:t>
      </w:r>
      <w:r>
        <w:rPr>
          <w:rFonts w:hint="eastAsia" w:ascii="宋体" w:hAnsi="宋体"/>
          <w:bCs/>
          <w:color w:val="000000" w:themeColor="text1"/>
          <w:szCs w:val="21"/>
          <w:highlight w:val="none"/>
          <w14:textFill>
            <w14:solidFill>
              <w14:schemeClr w14:val="tx1"/>
            </w14:solidFill>
          </w14:textFill>
        </w:rPr>
        <w:t xml:space="preserve">有下列情形之一的，视为投标人串通投标，投标无效：</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27.5.1</w:t>
      </w:r>
      <w:r>
        <w:rPr>
          <w:rFonts w:hint="eastAsia" w:ascii="宋体" w:hAnsi="宋体"/>
          <w:bCs/>
          <w:color w:val="000000" w:themeColor="text1"/>
          <w:szCs w:val="21"/>
          <w:highlight w:val="none"/>
          <w14:textFill>
            <w14:solidFill>
              <w14:schemeClr w14:val="tx1"/>
            </w14:solidFill>
          </w14:textFill>
        </w:rPr>
        <w:t xml:space="preserve">不同投标人的投标文件由同一单位或者个人编制。</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27.5.2</w:t>
      </w:r>
      <w:r>
        <w:rPr>
          <w:rFonts w:hint="eastAsia" w:ascii="宋体" w:hAnsi="宋体"/>
          <w:bCs/>
          <w:color w:val="000000" w:themeColor="text1"/>
          <w:szCs w:val="21"/>
          <w:highlight w:val="none"/>
          <w14:textFill>
            <w14:solidFill>
              <w14:schemeClr w14:val="tx1"/>
            </w14:solidFill>
          </w14:textFill>
        </w:rPr>
        <w:t xml:space="preserve">不同投标人委托同一单位或者个人办理投标事宜。</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27.5.3 </w:t>
      </w:r>
      <w:r>
        <w:rPr>
          <w:rFonts w:hint="eastAsia" w:ascii="宋体" w:hAnsi="宋体"/>
          <w:bCs/>
          <w:color w:val="000000" w:themeColor="text1"/>
          <w:szCs w:val="21"/>
          <w:highlight w:val="none"/>
          <w14:textFill>
            <w14:solidFill>
              <w14:schemeClr w14:val="tx1"/>
            </w14:solidFill>
          </w14:textFill>
        </w:rPr>
        <w:t xml:space="preserve">不同投标人的投标文件载明的项目管理成员或者联系人员为同一人。</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27.5.4</w:t>
      </w:r>
      <w:r>
        <w:rPr>
          <w:rFonts w:hint="eastAsia" w:ascii="宋体" w:hAnsi="宋体"/>
          <w:bCs/>
          <w:color w:val="000000" w:themeColor="text1"/>
          <w:szCs w:val="21"/>
          <w:highlight w:val="none"/>
          <w14:textFill>
            <w14:solidFill>
              <w14:schemeClr w14:val="tx1"/>
            </w14:solidFill>
          </w14:textFill>
        </w:rPr>
        <w:t xml:space="preserve">不同投标人的投标文件异常一致或者投标报价呈规律性差异。</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27.5.5</w:t>
      </w:r>
      <w:r>
        <w:rPr>
          <w:rFonts w:hint="eastAsia" w:ascii="宋体" w:hAnsi="宋体"/>
          <w:bCs/>
          <w:color w:val="000000" w:themeColor="text1"/>
          <w:szCs w:val="21"/>
          <w:highlight w:val="none"/>
          <w14:textFill>
            <w14:solidFill>
              <w14:schemeClr w14:val="tx1"/>
            </w14:solidFill>
          </w14:textFill>
        </w:rPr>
        <w:t xml:space="preserve">不同投标人的投标文件相互混装。</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28</w:t>
      </w:r>
      <w:r>
        <w:rPr>
          <w:rFonts w:hint="eastAsia" w:ascii="宋体" w:hAnsi="宋体"/>
          <w:b/>
          <w:color w:val="000000" w:themeColor="text1"/>
          <w:szCs w:val="21"/>
          <w:highlight w:val="none"/>
          <w14:textFill>
            <w14:solidFill>
              <w14:schemeClr w14:val="tx1"/>
            </w14:solidFill>
          </w14:textFill>
        </w:rPr>
        <w:t xml:space="preserve">、质疑处理</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28.1</w:t>
      </w:r>
      <w:r>
        <w:rPr>
          <w:rFonts w:hint="eastAsia" w:ascii="宋体" w:hAnsi="宋体"/>
          <w:bCs/>
          <w:color w:val="000000" w:themeColor="text1"/>
          <w:szCs w:val="21"/>
          <w:highlight w:val="none"/>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对项目需求部分的质疑，潜在供应商应向采购人提出，由采购人负责答复。</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28.2</w:t>
      </w:r>
      <w:r>
        <w:rPr>
          <w:rFonts w:hint="eastAsia" w:ascii="宋体" w:hAnsi="宋体"/>
          <w:bCs/>
          <w:color w:val="000000" w:themeColor="text1"/>
          <w:szCs w:val="21"/>
          <w:highlight w:val="none"/>
          <w14:textFill>
            <w14:solidFill>
              <w14:schemeClr w14:val="tx1"/>
            </w14:solidFill>
          </w14:textFill>
        </w:rPr>
        <w:t xml:space="preserve">投标人认为采购文件、采购过程和中标或成交结果使自己的权益受到损害的，可以在知道或应知其权益受到损害之日起</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个工作日内，以书面形式向采购人或代理机构提出质疑。</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28.2.1</w:t>
      </w:r>
      <w:r>
        <w:rPr>
          <w:rFonts w:hint="eastAsia" w:ascii="宋体" w:hAnsi="宋体"/>
          <w:bCs/>
          <w:color w:val="000000" w:themeColor="text1"/>
          <w:szCs w:val="21"/>
          <w:highlight w:val="none"/>
          <w14:textFill>
            <w14:solidFill>
              <w14:schemeClr w14:val="tx1"/>
            </w14:solidFill>
          </w14:textFill>
        </w:rPr>
        <w:t xml:space="preserve">对采购文件提出质疑的，应当在获取采购文件之日或者采购文件公告期限届满之日起</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个工作日内提出。</w:t>
      </w:r>
      <w:r/>
    </w:p>
    <w:p>
      <w:pPr>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28.2.2</w:t>
      </w:r>
      <w:r>
        <w:rPr>
          <w:rFonts w:hint="eastAsia" w:ascii="宋体" w:hAnsi="宋体"/>
          <w:bCs/>
          <w:color w:val="000000" w:themeColor="text1"/>
          <w:szCs w:val="21"/>
          <w:highlight w:val="none"/>
          <w14:textFill>
            <w14:solidFill>
              <w14:schemeClr w14:val="tx1"/>
            </w14:solidFill>
          </w14:textFill>
        </w:rPr>
        <w:t xml:space="preserve">对采购过程提出质疑的，为各采购程序环节结束之日起</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个工作日内提出。</w:t>
      </w:r>
      <w:r/>
    </w:p>
    <w:p>
      <w:pPr>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28.2.3</w:t>
      </w:r>
      <w:r>
        <w:rPr>
          <w:rFonts w:hint="eastAsia" w:ascii="宋体" w:hAnsi="宋体"/>
          <w:bCs/>
          <w:color w:val="000000" w:themeColor="text1"/>
          <w:szCs w:val="21"/>
          <w:highlight w:val="none"/>
          <w14:textFill>
            <w14:solidFill>
              <w14:schemeClr w14:val="tx1"/>
            </w14:solidFill>
          </w14:textFill>
        </w:rPr>
        <w:t xml:space="preserve">对中标结果提出质疑的，为中标结果公告期限届满之日起</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个工作日内提出。</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28.3</w:t>
      </w:r>
      <w:r>
        <w:rPr>
          <w:rFonts w:hint="eastAsia" w:ascii="宋体" w:hAnsi="宋体"/>
          <w:bCs/>
          <w:color w:val="000000" w:themeColor="text1"/>
          <w:szCs w:val="21"/>
          <w:highlight w:val="none"/>
          <w14:textFill>
            <w14:solidFill>
              <w14:schemeClr w14:val="tx1"/>
            </w14:solidFill>
          </w14:textFill>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28.4</w:t>
      </w:r>
      <w:r>
        <w:rPr>
          <w:rFonts w:hint="eastAsia" w:ascii="宋体" w:hAnsi="宋体"/>
          <w:bCs/>
          <w:color w:val="000000" w:themeColor="text1"/>
          <w:szCs w:val="21"/>
          <w:highlight w:val="none"/>
          <w14:textFill>
            <w14:solidFill>
              <w14:schemeClr w14:val="tx1"/>
            </w14:solidFill>
          </w14:textFill>
        </w:rPr>
        <w:t xml:space="preserve">质疑函必须按照《质疑函范本》及《授权委托书》要求的格式和内容进行填写，格式见网址：</w:t>
      </w:r>
      <w:r>
        <w:rPr>
          <w:rFonts w:ascii="宋体" w:hAnsi="宋体"/>
          <w:bCs/>
          <w:color w:val="000000" w:themeColor="text1"/>
          <w:szCs w:val="21"/>
          <w:highlight w:val="none"/>
          <w14:textFill>
            <w14:solidFill>
              <w14:schemeClr w14:val="tx1"/>
            </w14:solidFill>
          </w14:textFill>
        </w:rPr>
        <w:t xml:space="preserve">http://zfcg.yangzhou.gov.cn</w:t>
      </w:r>
      <w:r>
        <w:rPr>
          <w:rFonts w:hint="eastAsia" w:ascii="宋体" w:hAnsi="宋体"/>
          <w:bCs/>
          <w:color w:val="000000" w:themeColor="text1"/>
          <w:szCs w:val="21"/>
          <w:highlight w:val="none"/>
          <w14:textFill>
            <w14:solidFill>
              <w14:schemeClr w14:val="tx1"/>
            </w14:solidFill>
          </w14:textFill>
        </w:rPr>
        <w:t xml:space="preserve">。供应商如组成联合体参加投标，则《质疑函范本》及《授权委托书》中要求签字、盖章、加盖公章之处，联合体各方均须按要求签字、盖章、加盖公章。</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28.5 </w:t>
      </w:r>
      <w:r>
        <w:rPr>
          <w:rFonts w:hint="eastAsia" w:ascii="宋体" w:hAnsi="宋体"/>
          <w:bCs/>
          <w:color w:val="000000" w:themeColor="text1"/>
          <w:szCs w:val="21"/>
          <w:highlight w:val="none"/>
          <w14:textFill>
            <w14:solidFill>
              <w14:schemeClr w14:val="tx1"/>
            </w14:solidFill>
          </w14:textFill>
        </w:rPr>
        <w:t xml:space="preserve">代理机构及采购人只接收以纸质原件形式送达的质疑。</w:t>
      </w:r>
      <w:r/>
    </w:p>
    <w:p>
      <w:pPr>
        <w:ind w:firstLine="420"/>
        <w:spacing w:line="44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采购人质疑接收人及联系方式见招标文件第一章。</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28.6</w:t>
      </w:r>
      <w:r>
        <w:rPr>
          <w:rFonts w:hint="eastAsia" w:ascii="宋体" w:hAnsi="宋体"/>
          <w:bCs/>
          <w:color w:val="000000" w:themeColor="text1"/>
          <w:szCs w:val="21"/>
          <w:highlight w:val="none"/>
          <w14:textFill>
            <w14:solidFill>
              <w14:schemeClr w14:val="tx1"/>
            </w14:solidFill>
          </w14:textFill>
        </w:rPr>
        <w:t xml:space="preserve">代理机构收到质疑申请后，将对质疑的形式和内容进行审查，如质疑内容、格式不符合规定，代理机构将告知质疑人进行补正。</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28.7</w:t>
      </w:r>
      <w:r>
        <w:rPr>
          <w:rFonts w:hint="eastAsia" w:ascii="宋体" w:hAnsi="宋体"/>
          <w:bCs/>
          <w:color w:val="000000" w:themeColor="text1"/>
          <w:szCs w:val="21"/>
          <w:highlight w:val="none"/>
          <w14:textFill>
            <w14:solidFill>
              <w14:schemeClr w14:val="tx1"/>
            </w14:solidFill>
          </w14:textFill>
        </w:rPr>
        <w:t xml:space="preserve">质疑人应当在法定质疑期限内进行补正并重新提交质疑函。</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28.8 </w:t>
      </w:r>
      <w:r>
        <w:rPr>
          <w:rFonts w:hint="eastAsia" w:ascii="宋体" w:hAnsi="宋体"/>
          <w:bCs/>
          <w:color w:val="000000" w:themeColor="text1"/>
          <w:szCs w:val="21"/>
          <w:highlight w:val="none"/>
          <w14:textFill>
            <w14:solidFill>
              <w14:schemeClr w14:val="tx1"/>
            </w14:solidFill>
          </w14:textFill>
        </w:rPr>
        <w:t xml:space="preserve">以下情形的质疑不予受理</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28.8.1 </w:t>
      </w:r>
      <w:r>
        <w:rPr>
          <w:rFonts w:hint="eastAsia" w:ascii="宋体" w:hAnsi="宋体"/>
          <w:bCs/>
          <w:color w:val="000000" w:themeColor="text1"/>
          <w:szCs w:val="21"/>
          <w:highlight w:val="none"/>
          <w14:textFill>
            <w14:solidFill>
              <w14:schemeClr w14:val="tx1"/>
            </w14:solidFill>
          </w14:textFill>
        </w:rPr>
        <w:t xml:space="preserve">内容不符合《政府采购质疑和投诉办法》第十二条规定的质疑。</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28.8.2 </w:t>
      </w:r>
      <w:r>
        <w:rPr>
          <w:rFonts w:hint="eastAsia" w:ascii="宋体" w:hAnsi="宋体"/>
          <w:bCs/>
          <w:color w:val="000000" w:themeColor="text1"/>
          <w:szCs w:val="21"/>
          <w:highlight w:val="none"/>
          <w14:textFill>
            <w14:solidFill>
              <w14:schemeClr w14:val="tx1"/>
            </w14:solidFill>
          </w14:textFill>
        </w:rPr>
        <w:t xml:space="preserve">超出政府采购法定期限的质疑。</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28.8.3 </w:t>
      </w:r>
      <w:r>
        <w:rPr>
          <w:rFonts w:hint="eastAsia" w:ascii="宋体" w:hAnsi="宋体"/>
          <w:bCs/>
          <w:color w:val="000000" w:themeColor="text1"/>
          <w:szCs w:val="21"/>
          <w:highlight w:val="none"/>
          <w14:textFill>
            <w14:solidFill>
              <w14:schemeClr w14:val="tx1"/>
            </w14:solidFill>
          </w14:textFill>
        </w:rPr>
        <w:t xml:space="preserve">以传真、电子邮件等方式递交的非原件形式的质疑。</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28.8.4 </w:t>
      </w:r>
      <w:r>
        <w:rPr>
          <w:rFonts w:hint="eastAsia" w:ascii="宋体" w:hAnsi="宋体"/>
          <w:bCs/>
          <w:color w:val="000000" w:themeColor="text1"/>
          <w:szCs w:val="21"/>
          <w:highlight w:val="none"/>
          <w14:textFill>
            <w14:solidFill>
              <w14:schemeClr w14:val="tx1"/>
            </w14:solidFill>
          </w14:textFill>
        </w:rPr>
        <w:t xml:space="preserve">未参加投标活动的供应商或在投标活动中自身权益未受到损害的供应商所提出的质疑。</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28.8.5</w:t>
      </w:r>
      <w:r>
        <w:rPr>
          <w:rFonts w:hint="eastAsia" w:ascii="宋体" w:hAnsi="宋体"/>
          <w:bCs/>
          <w:color w:val="000000" w:themeColor="text1"/>
          <w:szCs w:val="21"/>
          <w:highlight w:val="none"/>
          <w14:textFill>
            <w14:solidFill>
              <w14:schemeClr w14:val="tx1"/>
            </w14:solidFill>
          </w14:textFill>
        </w:rPr>
        <w:t xml:space="preserve">供应商组成联合体参加投标，联合体中任何一方或多方未按要求签字、盖章、加盖公章的质疑。</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28.9 </w:t>
      </w:r>
      <w:r>
        <w:rPr>
          <w:rFonts w:hint="eastAsia" w:ascii="宋体" w:hAnsi="宋体"/>
          <w:bCs/>
          <w:color w:val="000000" w:themeColor="text1"/>
          <w:szCs w:val="21"/>
          <w:highlight w:val="none"/>
          <w14:textFill>
            <w14:solidFill>
              <w14:schemeClr w14:val="tx1"/>
            </w14:solidFill>
          </w14:textFill>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bCs/>
          <w:color w:val="000000" w:themeColor="text1"/>
          <w:szCs w:val="21"/>
          <w:highlight w:val="none"/>
          <w14:textFill>
            <w14:solidFill>
              <w14:schemeClr w14:val="tx1"/>
            </w14:solidFill>
          </w14:textFill>
        </w:rPr>
        <w:t xml:space="preserve"> </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28.10 </w:t>
      </w:r>
      <w:r>
        <w:rPr>
          <w:rFonts w:hint="eastAsia" w:ascii="宋体" w:hAnsi="宋体"/>
          <w:bCs/>
          <w:color w:val="000000" w:themeColor="text1"/>
          <w:szCs w:val="21"/>
          <w:highlight w:val="none"/>
          <w14:textFill>
            <w14:solidFill>
              <w14:schemeClr w14:val="tx1"/>
            </w14:solidFill>
          </w14:textFill>
        </w:rPr>
        <w:t xml:space="preserve">代理机构应当在收到供应商的书面质疑后</w:t>
      </w:r>
      <w:r>
        <w:rPr>
          <w:rFonts w:ascii="宋体" w:hAnsi="宋体"/>
          <w:bCs/>
          <w:color w:val="000000" w:themeColor="text1"/>
          <w:szCs w:val="21"/>
          <w:highlight w:val="none"/>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个工作日内作出答复，并以书面形式通知质疑供应商和其他有关供应商，但答复的内容不得涉及商业秘密。</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29</w:t>
      </w:r>
      <w:r>
        <w:rPr>
          <w:rFonts w:hint="eastAsia" w:ascii="宋体" w:hAnsi="宋体"/>
          <w:b/>
          <w:color w:val="000000" w:themeColor="text1"/>
          <w:szCs w:val="21"/>
          <w:highlight w:val="none"/>
          <w14:textFill>
            <w14:solidFill>
              <w14:schemeClr w14:val="tx1"/>
            </w14:solidFill>
          </w14:textFill>
        </w:rPr>
        <w:t xml:space="preserve">、中标通知书</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29.l </w:t>
      </w:r>
      <w:r>
        <w:rPr>
          <w:rFonts w:hint="eastAsia" w:ascii="宋体" w:hAnsi="宋体"/>
          <w:bCs/>
          <w:color w:val="000000" w:themeColor="text1"/>
          <w:szCs w:val="21"/>
          <w:highlight w:val="none"/>
          <w14:textFill>
            <w14:solidFill>
              <w14:schemeClr w14:val="tx1"/>
            </w14:solidFill>
          </w14:textFill>
        </w:rPr>
        <w:t xml:space="preserve">中标结果确定后，代理机构将向中标人发出中标通知书。</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29.2 </w:t>
      </w:r>
      <w:r>
        <w:rPr>
          <w:rFonts w:hint="eastAsia" w:ascii="宋体" w:hAnsi="宋体"/>
          <w:bCs/>
          <w:color w:val="000000" w:themeColor="text1"/>
          <w:szCs w:val="21"/>
          <w:highlight w:val="none"/>
          <w14:textFill>
            <w14:solidFill>
              <w14:schemeClr w14:val="tx1"/>
            </w14:solidFill>
          </w14:textFill>
        </w:rPr>
        <w:t xml:space="preserve">中标人可在“政府采购管理交易系统（苏采云）”中标通知书下载模块中自行下载中标通知书。</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29.3</w:t>
      </w:r>
      <w:r>
        <w:rPr>
          <w:rFonts w:hint="eastAsia" w:ascii="宋体" w:hAnsi="宋体"/>
          <w:bCs/>
          <w:color w:val="000000" w:themeColor="text1"/>
          <w:szCs w:val="21"/>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30</w:t>
      </w:r>
      <w:r>
        <w:rPr>
          <w:rFonts w:hint="eastAsia" w:ascii="宋体" w:hAnsi="宋体"/>
          <w:b/>
          <w:color w:val="000000" w:themeColor="text1"/>
          <w:szCs w:val="21"/>
          <w:highlight w:val="none"/>
          <w14:textFill>
            <w14:solidFill>
              <w14:schemeClr w14:val="tx1"/>
            </w14:solidFill>
          </w14:textFill>
        </w:rPr>
        <w:t xml:space="preserve">、</w:t>
      </w:r>
      <w:r>
        <w:rPr>
          <w:rFonts w:ascii="宋体" w:hAnsi="宋体"/>
          <w:b/>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签订合同</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30.l</w:t>
      </w:r>
      <w:r>
        <w:rPr>
          <w:rFonts w:hint="eastAsia" w:ascii="宋体" w:hAnsi="宋体"/>
          <w:bCs/>
          <w:color w:val="000000" w:themeColor="text1"/>
          <w:szCs w:val="21"/>
          <w:highlight w:val="none"/>
          <w14:textFill>
            <w14:solidFill>
              <w14:schemeClr w14:val="tx1"/>
            </w14:solidFill>
          </w14:textFill>
        </w:rPr>
        <w:t xml:space="preserve">中标人应在中标通知书发出之日起十五日内，按照招标文件确定的事项与采购人签订政府采购合同。</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30.2 </w:t>
      </w:r>
      <w:r>
        <w:rPr>
          <w:rFonts w:hint="eastAsia" w:ascii="宋体" w:hAnsi="宋体"/>
          <w:bCs/>
          <w:color w:val="000000" w:themeColor="text1"/>
          <w:szCs w:val="21"/>
          <w:highlight w:val="none"/>
          <w14:textFill>
            <w14:solidFill>
              <w14:schemeClr w14:val="tx1"/>
            </w14:solidFill>
          </w14:textFill>
        </w:rPr>
        <w:t xml:space="preserve">招标文件、中标人的投标文件及招标过程中有关澄清、承诺文件均应作为合同附件。</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30.3 </w:t>
      </w:r>
      <w:r>
        <w:rPr>
          <w:rFonts w:hint="eastAsia" w:ascii="宋体" w:hAnsi="宋体"/>
          <w:bCs/>
          <w:color w:val="000000" w:themeColor="text1"/>
          <w:szCs w:val="21"/>
          <w:highlight w:val="none"/>
          <w14:textFill>
            <w14:solidFill>
              <w14:schemeClr w14:val="tx1"/>
            </w14:solidFill>
          </w14:textFill>
        </w:rPr>
        <w:t xml:space="preserve">签订合同后，</w:t>
      </w:r>
      <w:r>
        <w:rPr>
          <w:rFonts w:hint="eastAsia" w:ascii="宋体" w:hAnsi="宋体"/>
          <w:bCs/>
          <w:i/>
          <w:iCs/>
          <w:color w:val="000000" w:themeColor="text1"/>
          <w:szCs w:val="21"/>
          <w:highlight w:val="none"/>
          <w:u w:val="single"/>
          <w14:textFill>
            <w14:solidFill>
              <w14:schemeClr w14:val="tx1"/>
            </w14:solidFill>
          </w14:textFill>
        </w:rPr>
        <w:t xml:space="preserve">中标人不得将货物或服务及其他服务进行转包</w:t>
      </w:r>
      <w:r>
        <w:rPr>
          <w:rFonts w:hint="eastAsia" w:ascii="宋体" w:hAnsi="宋体"/>
          <w:bCs/>
          <w:color w:val="000000" w:themeColor="text1"/>
          <w:szCs w:val="21"/>
          <w:highlight w:val="none"/>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30.4</w:t>
      </w:r>
      <w:r>
        <w:rPr>
          <w:rFonts w:hint="eastAsia" w:ascii="宋体" w:hAnsi="宋体"/>
          <w:bCs/>
          <w:color w:val="000000" w:themeColor="text1"/>
          <w:szCs w:val="21"/>
          <w:highlight w:val="none"/>
          <w14:textFill>
            <w14:solidFill>
              <w14:schemeClr w14:val="tx1"/>
            </w14:solidFill>
          </w14:textFill>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jc w:val="center"/>
        <w:spacing w:line="440" w:lineRule="exact"/>
        <w:rPr>
          <w:rFonts w:ascii="宋体"/>
          <w:color w:val="000000" w:themeColor="text1"/>
          <w:sz w:val="36"/>
          <w:szCs w:val="36"/>
          <w:highlight w:val="none"/>
          <w14:textFill>
            <w14:solidFill>
              <w14:schemeClr w14:val="tx1"/>
            </w14:solidFill>
          </w14:textFill>
        </w:rPr>
      </w:pPr>
      <w:r>
        <w:rPr>
          <w:rFonts w:ascii="宋体"/>
          <w:bCs/>
          <w:color w:val="000000" w:themeColor="text1"/>
          <w:szCs w:val="21"/>
          <w:highlight w:val="none"/>
          <w14:textFill>
            <w14:solidFill>
              <w14:schemeClr w14:val="tx1"/>
            </w14:solidFill>
          </w14:textFill>
        </w:rPr>
        <w:br w:type="page" w:clear="all"/>
      </w:r>
      <w:r>
        <w:rPr>
          <w:rFonts w:hint="eastAsia" w:ascii="宋体" w:hAnsi="宋体"/>
          <w:b/>
          <w:bCs/>
          <w:color w:val="000000" w:themeColor="text1"/>
          <w:sz w:val="36"/>
          <w:szCs w:val="36"/>
          <w:highlight w:val="none"/>
          <w14:textFill>
            <w14:solidFill>
              <w14:schemeClr w14:val="tx1"/>
            </w14:solidFill>
          </w14:textFill>
        </w:rPr>
        <w:t xml:space="preserve">第三章</w:t>
      </w:r>
      <w:r>
        <w:rPr>
          <w:rFonts w:ascii="宋体" w:hAnsi="宋体"/>
          <w:b/>
          <w:bCs/>
          <w:color w:val="000000" w:themeColor="text1"/>
          <w:sz w:val="36"/>
          <w:szCs w:val="36"/>
          <w:highlight w:val="none"/>
          <w14:textFill>
            <w14:solidFill>
              <w14:schemeClr w14:val="tx1"/>
            </w14:solidFill>
          </w14:textFill>
        </w:rPr>
        <w:t xml:space="preserve"> </w:t>
      </w:r>
      <w:r>
        <w:rPr>
          <w:rFonts w:hint="eastAsia" w:ascii="宋体" w:hAnsi="宋体"/>
          <w:b/>
          <w:bCs/>
          <w:color w:val="000000" w:themeColor="text1"/>
          <w:sz w:val="36"/>
          <w:szCs w:val="36"/>
          <w:highlight w:val="none"/>
          <w14:textFill>
            <w14:solidFill>
              <w14:schemeClr w14:val="tx1"/>
            </w14:solidFill>
          </w14:textFill>
        </w:rPr>
        <w:t xml:space="preserve">合同条款及格式</w:t>
      </w:r>
      <w:bookmarkEnd w:id="2"/>
      <w:r/>
      <w:r/>
    </w:p>
    <w:p>
      <w:pPr>
        <w:pStyle w:val="1051"/>
        <w:ind w:firstLine="400"/>
        <w:spacing w:before="120" w:after="120" w:line="36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r/>
    </w:p>
    <w:p>
      <w:pPr>
        <w:jc w:val="center"/>
        <w:spacing w:line="360" w:lineRule="auto"/>
        <w:widowControl/>
        <w:rPr>
          <w:rFonts w:ascii="宋体"/>
          <w:b/>
          <w:bCs/>
          <w:color w:val="000000" w:themeColor="text1"/>
          <w:sz w:val="28"/>
          <w:szCs w:val="21"/>
          <w:highlight w:val="none"/>
          <w14:textFill>
            <w14:solidFill>
              <w14:schemeClr w14:val="tx1"/>
            </w14:solidFill>
          </w14:textFill>
        </w:rPr>
      </w:pPr>
      <w:r>
        <w:rPr>
          <w:rFonts w:hint="eastAsia" w:ascii="宋体" w:hAnsi="宋体"/>
          <w:b/>
          <w:color w:val="000000" w:themeColor="text1"/>
          <w:sz w:val="28"/>
          <w:szCs w:val="21"/>
          <w:highlight w:val="none"/>
          <w14:textFill>
            <w14:solidFill>
              <w14:schemeClr w14:val="tx1"/>
            </w14:solidFill>
          </w14:textFill>
        </w:rPr>
        <w:t xml:space="preserve">江苏省政府采购合同（服务）（合同编号）</w:t>
      </w:r>
      <w:r/>
    </w:p>
    <w:p>
      <w:pPr>
        <w:jc w:val="left"/>
        <w:spacing w:line="360" w:lineRule="auto"/>
        <w:widowControl/>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rPr>
          <w:rFonts w:ascii="宋体" w:hAnsi="宋体"/>
          <w:color w:val="000000" w:themeColor="text1"/>
          <w:szCs w:val="21"/>
          <w:highlight w:val="none"/>
          <w14:textFill>
            <w14:solidFill>
              <w14:schemeClr w14:val="tx1"/>
            </w14:solidFill>
          </w14:textFill>
        </w:rPr>
        <w:t xml:space="preserve">                                       </w:t>
      </w:r>
      <w:r/>
    </w:p>
    <w:p>
      <w:pPr>
        <w:jc w:val="left"/>
        <w:spacing w:line="360" w:lineRule="auto"/>
        <w:widowControl/>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项目编号：</w:t>
      </w:r>
      <w:r/>
    </w:p>
    <w:p>
      <w:pPr>
        <w:jc w:val="left"/>
        <w:spacing w:line="360" w:lineRule="auto"/>
        <w:widowControl/>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采购包号：</w:t>
      </w:r>
      <w:r/>
    </w:p>
    <w:p>
      <w:pPr>
        <w:jc w:val="left"/>
        <w:spacing w:line="360" w:lineRule="auto"/>
        <w:widowControl/>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甲方：（买方</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采购人）</w:t>
      </w:r>
      <w:r/>
    </w:p>
    <w:p>
      <w:pPr>
        <w:jc w:val="left"/>
        <w:spacing w:line="360" w:lineRule="auto"/>
        <w:widowControl/>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乙方：（卖方</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中标供应商）</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甲、乙双方根据项目公开招标的结果，签署本合同。</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一、合同内容</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 </w:t>
      </w:r>
      <w:r>
        <w:rPr>
          <w:rFonts w:hint="eastAsia" w:ascii="宋体" w:hAnsi="宋体"/>
          <w:color w:val="000000" w:themeColor="text1"/>
          <w:szCs w:val="21"/>
          <w:highlight w:val="none"/>
          <w14:textFill>
            <w14:solidFill>
              <w14:schemeClr w14:val="tx1"/>
            </w14:solidFill>
          </w14:textFill>
        </w:rPr>
        <w:t xml:space="preserve">标的名称：</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1.2</w:t>
      </w:r>
      <w:r>
        <w:rPr>
          <w:rFonts w:hint="eastAsia" w:ascii="宋体" w:hAnsi="宋体"/>
          <w:color w:val="000000" w:themeColor="text1"/>
          <w:szCs w:val="21"/>
          <w:highlight w:val="none"/>
          <w14:textFill>
            <w14:solidFill>
              <w14:schemeClr w14:val="tx1"/>
            </w14:solidFill>
          </w14:textFill>
        </w:rPr>
        <w:t xml:space="preserve">标的质量：</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 </w:t>
      </w:r>
      <w:r>
        <w:rPr>
          <w:rFonts w:hint="eastAsia" w:ascii="宋体" w:hAnsi="宋体"/>
          <w:color w:val="000000" w:themeColor="text1"/>
          <w:szCs w:val="21"/>
          <w:highlight w:val="none"/>
          <w14:textFill>
            <w14:solidFill>
              <w14:schemeClr w14:val="tx1"/>
            </w14:solidFill>
          </w14:textFill>
        </w:rPr>
        <w:t xml:space="preserve">标的数量（规模）：</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 </w:t>
      </w:r>
      <w:r>
        <w:rPr>
          <w:rFonts w:hint="eastAsia" w:ascii="宋体" w:hAnsi="宋体"/>
          <w:color w:val="000000" w:themeColor="text1"/>
          <w:szCs w:val="21"/>
          <w:highlight w:val="none"/>
          <w14:textFill>
            <w14:solidFill>
              <w14:schemeClr w14:val="tx1"/>
            </w14:solidFill>
          </w14:textFill>
        </w:rPr>
        <w:t xml:space="preserve">履行时间（期限）：一年。</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1.5 </w:t>
      </w:r>
      <w:r>
        <w:rPr>
          <w:rFonts w:hint="eastAsia" w:ascii="宋体" w:hAnsi="宋体"/>
          <w:color w:val="000000" w:themeColor="text1"/>
          <w:szCs w:val="21"/>
          <w:highlight w:val="none"/>
          <w14:textFill>
            <w14:solidFill>
              <w14:schemeClr w14:val="tx1"/>
            </w14:solidFill>
          </w14:textFill>
        </w:rPr>
        <w:t xml:space="preserve">履行地点：</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1.6</w:t>
      </w:r>
      <w:r>
        <w:rPr>
          <w:rFonts w:hint="eastAsia" w:ascii="宋体" w:hAnsi="宋体"/>
          <w:color w:val="000000" w:themeColor="text1"/>
          <w:szCs w:val="21"/>
          <w:highlight w:val="none"/>
          <w14:textFill>
            <w14:solidFill>
              <w14:schemeClr w14:val="tx1"/>
            </w14:solidFill>
          </w14:textFill>
        </w:rPr>
        <w:t xml:space="preserve">履行方式：</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二、合同金额</w:t>
      </w:r>
      <w:r/>
    </w:p>
    <w:p>
      <w:pPr>
        <w:ind w:firstLine="424"/>
        <w:jc w:val="left"/>
        <w:spacing w:line="360" w:lineRule="auto"/>
        <w:widowControl/>
      </w:pPr>
      <w:r>
        <w:rPr>
          <w:rFonts w:ascii="宋体" w:hAnsi="宋体"/>
          <w:color w:val="000000" w:themeColor="text1"/>
          <w:szCs w:val="21"/>
          <w:highlight w:val="none"/>
          <w14:textFill>
            <w14:solidFill>
              <w14:schemeClr w14:val="tx1"/>
            </w14:solidFill>
          </w14:textFill>
        </w:rPr>
        <w:t xml:space="preserve">2.1 </w:t>
      </w:r>
      <w:r>
        <w:rPr>
          <w:rFonts w:hint="eastAsia" w:ascii="宋体" w:hAnsi="宋体"/>
          <w:color w:val="000000" w:themeColor="text1"/>
          <w:szCs w:val="21"/>
          <w:highlight w:val="none"/>
          <w14:textFill>
            <w14:solidFill>
              <w14:schemeClr w14:val="tx1"/>
            </w14:solidFill>
          </w14:textFill>
        </w:rPr>
        <w:t xml:space="preserve">本合同金额为（大写）：</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元（</w:t>
      </w:r>
      <w:r>
        <w:rPr>
          <w:rFonts w:hint="eastAsia" w:ascii="宋体" w:hAnsi="宋体"/>
          <w:color w:val="000000" w:themeColor="text1"/>
          <w:szCs w:val="21"/>
          <w:highlight w:val="none"/>
          <w:lang w:val="en-US" w:eastAsia="zh-CN"/>
          <w14:textFill>
            <w14:solidFill>
              <w14:schemeClr w14:val="tx1"/>
            </w14:solidFill>
          </w14:textFill>
        </w:rPr>
        <w:t xml:space="preserve">小</w:t>
      </w:r>
      <w:r>
        <w:rPr>
          <w:rFonts w:hint="eastAsia" w:ascii="宋体" w:hAnsi="宋体"/>
          <w:color w:val="000000" w:themeColor="text1"/>
          <w:szCs w:val="21"/>
          <w:highlight w:val="none"/>
          <w14:textFill>
            <w14:solidFill>
              <w14:schemeClr w14:val="tx1"/>
            </w14:solidFill>
          </w14:textFill>
        </w:rPr>
        <w:t xml:space="preserve">写）</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（元）人民币。</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三、技术资料</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w:t>
      </w:r>
      <w:r>
        <w:rPr>
          <w:rFonts w:hint="eastAsia" w:ascii="宋体" w:hAnsi="宋体"/>
          <w:color w:val="000000" w:themeColor="text1"/>
          <w:szCs w:val="21"/>
          <w:highlight w:val="none"/>
          <w14:textFill>
            <w14:solidFill>
              <w14:schemeClr w14:val="tx1"/>
            </w14:solidFill>
          </w14:textFill>
        </w:rPr>
        <w:t xml:space="preserve">乙方应按招标文件规定的时间向甲方提供服务（包含与服务相关的货物）的有关技术资料。</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 </w:t>
      </w:r>
      <w:r>
        <w:rPr>
          <w:rFonts w:hint="eastAsia" w:ascii="宋体" w:hAnsi="宋体"/>
          <w:color w:val="000000" w:themeColor="text1"/>
          <w:szCs w:val="21"/>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四、知识产权</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4.1</w:t>
      </w:r>
      <w:r>
        <w:rPr>
          <w:rFonts w:hint="eastAsia" w:ascii="宋体" w:hAnsi="宋体"/>
          <w:color w:val="000000" w:themeColor="text1"/>
          <w:szCs w:val="21"/>
          <w:highlight w:val="none"/>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五、产权担保</w:t>
      </w:r>
      <w:r/>
    </w:p>
    <w:p>
      <w:pPr>
        <w:ind w:firstLine="424"/>
        <w:jc w:val="left"/>
        <w:spacing w:line="360" w:lineRule="auto"/>
        <w:widowControl/>
        <w:rPr>
          <w:rFonts w:asci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5.1 </w:t>
      </w:r>
      <w:r>
        <w:rPr>
          <w:rFonts w:hint="eastAsia" w:ascii="宋体" w:hAnsi="宋体"/>
          <w:color w:val="000000" w:themeColor="text1"/>
          <w:szCs w:val="21"/>
          <w:highlight w:val="none"/>
          <w14:textFill>
            <w14:solidFill>
              <w14:schemeClr w14:val="tx1"/>
            </w14:solidFill>
          </w14:textFill>
        </w:rPr>
        <w:t xml:space="preserve">乙方保证所交付的服务（包含与服务相关的货物）的所有权完全属于乙方且无任何抵押、查封等产权瑕疵。</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六、履约保证金</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6.1 </w:t>
      </w:r>
      <w:r>
        <w:rPr>
          <w:rFonts w:hint="eastAsia" w:ascii="宋体" w:hAnsi="宋体"/>
          <w:color w:val="000000" w:themeColor="text1"/>
          <w:szCs w:val="21"/>
          <w:highlight w:val="none"/>
          <w14:textFill>
            <w14:solidFill>
              <w14:schemeClr w14:val="tx1"/>
            </w14:solidFill>
          </w14:textFill>
        </w:rPr>
        <w:t xml:space="preserve">本项目无履约保证金。</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6.2</w:t>
      </w:r>
      <w:r>
        <w:rPr>
          <w:rFonts w:hint="eastAsia" w:ascii="宋体" w:hAnsi="宋体"/>
          <w:color w:val="000000" w:themeColor="text1"/>
          <w:szCs w:val="21"/>
          <w:highlight w:val="none"/>
          <w14:textFill>
            <w14:solidFill>
              <w14:schemeClr w14:val="tx1"/>
            </w14:solidFill>
          </w14:textFill>
        </w:rPr>
        <w:t xml:space="preserve">合同履行结束后，甲方应及时退还交纳的履约保证金。</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6.2.1</w:t>
      </w:r>
      <w:r>
        <w:rPr>
          <w:rFonts w:hint="eastAsia" w:ascii="宋体" w:hAnsi="宋体"/>
          <w:color w:val="000000" w:themeColor="text1"/>
          <w:szCs w:val="21"/>
          <w:highlight w:val="none"/>
          <w14:textFill>
            <w14:solidFill>
              <w14:schemeClr w14:val="tx1"/>
            </w14:solidFill>
          </w14:textFill>
        </w:rPr>
        <w:t xml:space="preserve">履约保证金退还方式：按原缴纳方式</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6.2.2</w:t>
      </w:r>
      <w:r>
        <w:rPr>
          <w:rFonts w:hint="eastAsia" w:ascii="宋体" w:hAnsi="宋体"/>
          <w:color w:val="000000" w:themeColor="text1"/>
          <w:szCs w:val="21"/>
          <w:highlight w:val="none"/>
          <w14:textFill>
            <w14:solidFill>
              <w14:schemeClr w14:val="tx1"/>
            </w14:solidFill>
          </w14:textFill>
        </w:rPr>
        <w:t xml:space="preserve">履约保证金退还时间：在合同履行结束后。</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6.2.3</w:t>
      </w:r>
      <w:r>
        <w:rPr>
          <w:rFonts w:hint="eastAsia" w:ascii="宋体" w:hAnsi="宋体"/>
          <w:color w:val="000000" w:themeColor="text1"/>
          <w:szCs w:val="21"/>
          <w:highlight w:val="none"/>
          <w14:textFill>
            <w14:solidFill>
              <w14:schemeClr w14:val="tx1"/>
            </w14:solidFill>
          </w14:textFill>
        </w:rPr>
        <w:t xml:space="preserve">履约保证金退还条件：在合同履行结束后，由中标供应商提出退还手续，采购人退还。</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6.2.4</w:t>
      </w:r>
      <w:r>
        <w:rPr>
          <w:rFonts w:hint="eastAsia" w:ascii="宋体" w:hAnsi="宋体"/>
          <w:color w:val="000000" w:themeColor="text1"/>
          <w:szCs w:val="21"/>
          <w:highlight w:val="none"/>
          <w14:textFill>
            <w14:solidFill>
              <w14:schemeClr w14:val="tx1"/>
            </w14:solidFill>
          </w14:textFill>
        </w:rPr>
        <w:t xml:space="preserve">履约保证金不予退还的情形：除不可抗力外，中标供应商不依约履行合同的，履约保证金不予退还，给采购人造成的损失超过履约保证金数额的，还应当对超过部分予以赔偿。</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6.2.5</w:t>
      </w:r>
      <w:r>
        <w:rPr>
          <w:rFonts w:hint="eastAsia" w:ascii="宋体" w:hAnsi="宋体"/>
          <w:color w:val="000000" w:themeColor="text1"/>
          <w:szCs w:val="21"/>
          <w:highlight w:val="none"/>
          <w14:textFill>
            <w14:solidFill>
              <w14:schemeClr w14:val="tx1"/>
            </w14:solidFill>
          </w14:textFill>
        </w:rPr>
        <w:t xml:space="preserve">支持和鼓励中标供应商自愿使用履约保函（保险）代替缴纳履约保证金。若供应商选择电子保函，可登录“江苏政府采购网”“保险保函”栏目“一站式电子保函（保险）综合服务平台”办理。</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七、合同转包或分包</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7.1</w:t>
      </w:r>
      <w:r>
        <w:rPr>
          <w:rFonts w:hint="eastAsia" w:ascii="宋体" w:hAnsi="宋体"/>
          <w:color w:val="000000" w:themeColor="text1"/>
          <w:szCs w:val="21"/>
          <w:highlight w:val="none"/>
          <w14:textFill>
            <w14:solidFill>
              <w14:schemeClr w14:val="tx1"/>
            </w14:solidFill>
          </w14:textFill>
        </w:rPr>
        <w:t xml:space="preserve">乙方不得将合同标的转包给他人履行。</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7.2</w:t>
      </w:r>
      <w:r>
        <w:rPr>
          <w:rFonts w:hint="eastAsia" w:ascii="宋体" w:hAnsi="宋体"/>
          <w:color w:val="000000" w:themeColor="text1"/>
          <w:szCs w:val="21"/>
          <w:highlight w:val="none"/>
          <w14:textFill>
            <w14:solidFill>
              <w14:schemeClr w14:val="tx1"/>
            </w14:solidFill>
          </w14:textFill>
        </w:rPr>
        <w:t xml:space="preserve">乙方不得将合同标的分包给他人履行。</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7.3</w:t>
      </w:r>
      <w:r>
        <w:rPr>
          <w:rFonts w:hint="eastAsia" w:ascii="宋体" w:hAnsi="宋体"/>
          <w:color w:val="000000" w:themeColor="text1"/>
          <w:szCs w:val="21"/>
          <w:highlight w:val="none"/>
          <w14:textFill>
            <w14:solidFill>
              <w14:schemeClr w14:val="tx1"/>
            </w14:solidFill>
          </w14:textFill>
        </w:rPr>
        <w:t xml:space="preserve">乙方如有转包或未经甲方同意的分包行为，甲方有权解除合同。</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八、合同款项支付</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8.1</w:t>
      </w:r>
      <w:r>
        <w:rPr>
          <w:rFonts w:hint="eastAsia" w:ascii="宋体" w:hAnsi="宋体"/>
          <w:color w:val="000000" w:themeColor="text1"/>
          <w:szCs w:val="21"/>
          <w:highlight w:val="none"/>
          <w14:textFill>
            <w14:solidFill>
              <w14:schemeClr w14:val="tx1"/>
            </w14:solidFill>
          </w14:textFill>
        </w:rPr>
        <w:t xml:space="preserve">合同款项的支付方式及进度安排</w:t>
      </w:r>
      <w:r/>
    </w:p>
    <w:p>
      <w:pPr>
        <w:ind w:firstLine="424"/>
        <w:jc w:val="left"/>
        <w:spacing w:line="360" w:lineRule="auto"/>
        <w:widowControl/>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合同签订后，</w:t>
      </w:r>
      <w:r>
        <w:rPr>
          <w:rFonts w:hint="eastAsia" w:ascii="宋体" w:hAnsi="宋体"/>
          <w:bCs/>
          <w:color w:val="000000" w:themeColor="text1"/>
          <w:szCs w:val="21"/>
          <w:highlight w:val="none"/>
          <w:u w:val="single"/>
          <w14:textFill>
            <w14:solidFill>
              <w14:schemeClr w14:val="tx1"/>
            </w14:solidFill>
          </w14:textFill>
        </w:rPr>
        <w:t xml:space="preserve">乙方向甲方开具正式发票，甲方自收到发票后</w:t>
      </w:r>
      <w:r>
        <w:rPr>
          <w:rFonts w:ascii="宋体" w:hAnsi="宋体"/>
          <w:bCs/>
          <w:color w:val="000000" w:themeColor="text1"/>
          <w:szCs w:val="21"/>
          <w:highlight w:val="none"/>
          <w:u w:val="single"/>
          <w14:textFill>
            <w14:solidFill>
              <w14:schemeClr w14:val="tx1"/>
            </w14:solidFill>
          </w14:textFill>
        </w:rPr>
        <w:t xml:space="preserve">10</w:t>
      </w:r>
      <w:r>
        <w:rPr>
          <w:rFonts w:hint="eastAsia" w:ascii="宋体" w:hAnsi="宋体"/>
          <w:bCs/>
          <w:color w:val="000000" w:themeColor="text1"/>
          <w:szCs w:val="21"/>
          <w:highlight w:val="none"/>
          <w:u w:val="single"/>
          <w14:textFill>
            <w14:solidFill>
              <w14:schemeClr w14:val="tx1"/>
            </w14:solidFill>
          </w14:textFill>
        </w:rPr>
        <w:t xml:space="preserve">个工作日内</w:t>
      </w:r>
      <w:r>
        <w:rPr>
          <w:rFonts w:hint="eastAsia" w:ascii="宋体" w:hAnsi="宋体"/>
          <w:color w:val="000000" w:themeColor="text1"/>
          <w:szCs w:val="21"/>
          <w:highlight w:val="none"/>
          <w:u w:val="single"/>
          <w14:textFill>
            <w14:solidFill>
              <w14:schemeClr w14:val="tx1"/>
            </w14:solidFill>
          </w14:textFill>
        </w:rPr>
        <w:t xml:space="preserve">支付合同价的</w:t>
      </w:r>
      <w:r>
        <w:rPr>
          <w:rFonts w:ascii="宋体" w:hAnsi="宋体"/>
          <w:color w:val="000000" w:themeColor="text1"/>
          <w:szCs w:val="21"/>
          <w:highlight w:val="none"/>
          <w:u w:val="single"/>
          <w14:textFill>
            <w14:solidFill>
              <w14:schemeClr w14:val="tx1"/>
            </w14:solidFill>
          </w14:textFill>
        </w:rPr>
        <w:t xml:space="preserve">30%</w:t>
      </w:r>
      <w:r>
        <w:rPr>
          <w:rFonts w:hint="eastAsia" w:ascii="宋体" w:hAnsi="宋体"/>
          <w:color w:val="000000" w:themeColor="text1"/>
          <w:szCs w:val="21"/>
          <w:highlight w:val="none"/>
          <w:u w:val="single"/>
          <w14:textFill>
            <w14:solidFill>
              <w14:schemeClr w14:val="tx1"/>
            </w14:solidFill>
          </w14:textFill>
        </w:rPr>
        <w:t xml:space="preserve">作为预付款，剩余</w:t>
      </w:r>
      <w:r>
        <w:rPr>
          <w:rFonts w:ascii="宋体" w:hAnsi="宋体"/>
          <w:color w:val="000000" w:themeColor="text1"/>
          <w:szCs w:val="21"/>
          <w:highlight w:val="none"/>
          <w:u w:val="single"/>
          <w14:textFill>
            <w14:solidFill>
              <w14:schemeClr w14:val="tx1"/>
            </w14:solidFill>
          </w14:textFill>
        </w:rPr>
        <w:t xml:space="preserve">70%</w:t>
      </w:r>
      <w:r>
        <w:rPr>
          <w:rFonts w:hint="eastAsia" w:ascii="宋体" w:hAnsi="宋体"/>
          <w:color w:val="000000" w:themeColor="text1"/>
          <w:szCs w:val="21"/>
          <w:highlight w:val="none"/>
          <w:u w:val="single"/>
          <w14:textFill>
            <w14:solidFill>
              <w14:schemeClr w14:val="tx1"/>
            </w14:solidFill>
          </w14:textFill>
        </w:rPr>
        <w:t xml:space="preserve">的合同价按月等额结算。（注：每次支付，乙方向甲方开具正式发票，甲方自收到发票后</w:t>
      </w:r>
      <w:r>
        <w:rPr>
          <w:rFonts w:ascii="宋体" w:hAnsi="宋体"/>
          <w:color w:val="000000" w:themeColor="text1"/>
          <w:szCs w:val="21"/>
          <w:highlight w:val="none"/>
          <w:u w:val="single"/>
          <w14:textFill>
            <w14:solidFill>
              <w14:schemeClr w14:val="tx1"/>
            </w14:solidFill>
          </w14:textFill>
        </w:rPr>
        <w:t xml:space="preserve">10</w:t>
      </w:r>
      <w:r>
        <w:rPr>
          <w:rFonts w:hint="eastAsia" w:ascii="宋体" w:hAnsi="宋体"/>
          <w:color w:val="000000" w:themeColor="text1"/>
          <w:szCs w:val="21"/>
          <w:highlight w:val="none"/>
          <w:u w:val="single"/>
          <w14:textFill>
            <w14:solidFill>
              <w14:schemeClr w14:val="tx1"/>
            </w14:solidFill>
          </w14:textFill>
        </w:rPr>
        <w:t xml:space="preserve">个工作日内付款；如评估中被扣款，则付款时扣除相应金额）</w:t>
      </w:r>
      <w:r/>
    </w:p>
    <w:p>
      <w:pPr>
        <w:ind w:firstLine="424"/>
        <w:jc w:val="left"/>
        <w:spacing w:line="360" w:lineRule="auto"/>
        <w:widowControl/>
        <w:rPr>
          <w:rFonts w:hint="default" w:ascii="宋体" w:hAnsi="Times New Roman" w:eastAsia="宋体" w:cs="宋体"/>
          <w:b/>
          <w:bCs/>
          <w:color w:val="ff0000"/>
          <w:sz w:val="21"/>
          <w:szCs w:val="21"/>
          <w:highlight w:val="none"/>
          <w:u w:val="none"/>
          <w:lang w:val="en-US" w:eastAsia="zh-CN" w:bidi="ar-SA"/>
        </w:rPr>
      </w:pPr>
      <w:r>
        <w:rPr>
          <w:rFonts w:hint="eastAsia" w:ascii="宋体" w:hAnsi="宋体"/>
          <w:b/>
          <w:bCs/>
          <w:color w:val="ff0000"/>
          <w:szCs w:val="21"/>
          <w:highlight w:val="none"/>
          <w:u w:val="none"/>
          <w:lang w:val="en-US" w:eastAsia="zh-CN"/>
        </w:rPr>
        <w:t xml:space="preserve">备注：</w:t>
      </w:r>
      <w:r>
        <w:rPr>
          <w:rFonts w:hint="eastAsia" w:ascii="宋体" w:cs="宋体"/>
          <w:b/>
          <w:bCs/>
          <w:color w:val="ff0000"/>
          <w:szCs w:val="21"/>
          <w:highlight w:val="none"/>
          <w:u w:val="none"/>
          <w:lang w:val="en-US" w:eastAsia="zh-CN"/>
        </w:rPr>
        <w:t xml:space="preserve">包2标段有部分范围正在履约中，包2乙方合同起始日至原履约单位合同期满日期间产生的作业费用，由包2乙方支付或在中标金额中核减。</w:t>
      </w:r>
      <w:r>
        <w:rPr>
          <w:rFonts w:hint="default" w:ascii="宋体" w:hAnsi="Times New Roman" w:eastAsia="宋体" w:cs="宋体"/>
          <w:b/>
          <w:bCs/>
          <w:color w:val="ff0000"/>
          <w:sz w:val="21"/>
          <w:szCs w:val="21"/>
          <w:highlight w:val="none"/>
          <w:u w:val="none"/>
          <w:lang w:val="en-US" w:eastAsia="zh-CN" w:bidi="ar-SA"/>
        </w:rPr>
        <w:t xml:space="preserve">范围如下:</w:t>
      </w:r>
      <w:r/>
    </w:p>
    <w:p>
      <w:pPr>
        <w:ind w:firstLine="424"/>
        <w:jc w:val="left"/>
        <w:spacing w:line="360" w:lineRule="auto"/>
        <w:widowControl/>
        <w:rPr>
          <w:rFonts w:hint="default" w:ascii="宋体" w:hAnsi="Times New Roman" w:eastAsia="宋体" w:cs="宋体"/>
          <w:b/>
          <w:bCs/>
          <w:color w:val="ff0000"/>
          <w:sz w:val="21"/>
          <w:szCs w:val="21"/>
          <w:highlight w:val="none"/>
          <w:u w:val="none"/>
          <w:lang w:val="en-US" w:eastAsia="zh-CN" w:bidi="ar-SA"/>
        </w:rPr>
      </w:pPr>
      <w:r>
        <w:rPr>
          <w:rFonts w:hint="default" w:ascii="宋体" w:hAnsi="Times New Roman" w:eastAsia="宋体" w:cs="宋体"/>
          <w:b/>
          <w:bCs/>
          <w:color w:val="ff0000"/>
          <w:sz w:val="21"/>
          <w:szCs w:val="21"/>
          <w:highlight w:val="none"/>
          <w:u w:val="none"/>
          <w:lang w:val="en-US" w:eastAsia="zh-CN" w:bidi="ar-SA"/>
        </w:rPr>
        <w:t xml:space="preserve">作业区域3：工业园区：（一、二期院内）合同期至2026年2月28日止</w:t>
      </w:r>
      <w:r>
        <w:rPr>
          <w:rFonts w:hint="eastAsia" w:ascii="宋体" w:cs="宋体"/>
          <w:b/>
          <w:bCs/>
          <w:color w:val="ff0000"/>
          <w:sz w:val="21"/>
          <w:szCs w:val="21"/>
          <w:highlight w:val="none"/>
          <w:u w:val="none"/>
          <w:lang w:val="en-US" w:eastAsia="zh-CN" w:bidi="ar-SA"/>
        </w:rPr>
        <w:t xml:space="preserve">；</w:t>
      </w:r>
      <w:r/>
    </w:p>
    <w:p>
      <w:pPr>
        <w:ind w:firstLine="424"/>
        <w:jc w:val="left"/>
        <w:spacing w:line="360" w:lineRule="auto"/>
        <w:widowControl/>
        <w:rPr>
          <w:rFonts w:hint="default" w:ascii="宋体" w:hAnsi="Times New Roman" w:eastAsia="宋体" w:cs="宋体"/>
          <w:b/>
          <w:bCs/>
          <w:color w:val="ff0000"/>
          <w:sz w:val="21"/>
          <w:szCs w:val="21"/>
          <w:highlight w:val="none"/>
          <w:u w:val="none"/>
          <w:lang w:val="en-US" w:eastAsia="zh-CN" w:bidi="ar-SA"/>
        </w:rPr>
      </w:pPr>
      <w:r>
        <w:rPr>
          <w:rFonts w:hint="default" w:ascii="宋体" w:hAnsi="Times New Roman" w:eastAsia="宋体" w:cs="宋体"/>
          <w:b/>
          <w:bCs/>
          <w:color w:val="ff0000"/>
          <w:sz w:val="21"/>
          <w:szCs w:val="21"/>
          <w:highlight w:val="none"/>
          <w:u w:val="none"/>
          <w:lang w:val="en-US" w:eastAsia="zh-CN" w:bidi="ar-SA"/>
        </w:rPr>
        <w:t xml:space="preserve">作业区域11：安大路（大桥互通至江都港）合同期至2026年3月31日止。</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九、税费</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9.1</w:t>
      </w:r>
      <w:r>
        <w:rPr>
          <w:rFonts w:hint="eastAsia" w:ascii="宋体" w:hAnsi="宋体"/>
          <w:color w:val="000000" w:themeColor="text1"/>
          <w:szCs w:val="21"/>
          <w:highlight w:val="none"/>
          <w14:textFill>
            <w14:solidFill>
              <w14:schemeClr w14:val="tx1"/>
            </w14:solidFill>
          </w14:textFill>
        </w:rPr>
        <w:t xml:space="preserve">本合同执行中相关的一切税费均由乙方负担。</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十、项目验收</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10.1 </w:t>
      </w:r>
      <w:r>
        <w:rPr>
          <w:rFonts w:hint="eastAsia" w:ascii="宋体" w:hAnsi="宋体"/>
          <w:color w:val="000000" w:themeColor="text1"/>
          <w:szCs w:val="21"/>
          <w:highlight w:val="none"/>
          <w14:textFill>
            <w14:solidFill>
              <w14:schemeClr w14:val="tx1"/>
            </w14:solidFill>
          </w14:textFill>
        </w:rPr>
        <w:t xml:space="preserve">甲方依法组织履约验收工作。</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10.2 </w:t>
      </w:r>
      <w:r>
        <w:rPr>
          <w:rFonts w:hint="eastAsia" w:ascii="宋体" w:hAnsi="宋体"/>
          <w:color w:val="000000" w:themeColor="text1"/>
          <w:szCs w:val="21"/>
          <w:highlight w:val="none"/>
          <w14:textFill>
            <w14:solidFill>
              <w14:schemeClr w14:val="tx1"/>
            </w14:solidFill>
          </w14:textFill>
        </w:rPr>
        <w:t xml:space="preserve">甲方在组织履约验收前，将根据项目特点制定验收方案，明确履约验收的时间、方式、程序等内容，并可根据项目特点对服务期内的服务实施情况进行分期评估，综合评估情况和服务效果进行验收。乙方应根据验收方案内容做好相应配合工作。</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10.3 </w:t>
      </w:r>
      <w:r>
        <w:rPr>
          <w:rFonts w:hint="eastAsia" w:ascii="宋体" w:hAnsi="宋体"/>
          <w:color w:val="000000" w:themeColor="text1"/>
          <w:szCs w:val="21"/>
          <w:highlight w:val="none"/>
          <w14:textFill>
            <w14:solidFill>
              <w14:schemeClr w14:val="tx1"/>
            </w14:solidFill>
          </w14:textFill>
        </w:rPr>
        <w:t xml:space="preserve">对于实际使用人和甲方分离的项目，甲方邀请实际使用人参与验收。</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10.4 </w:t>
      </w:r>
      <w:r>
        <w:rPr>
          <w:rFonts w:hint="eastAsia" w:ascii="宋体" w:hAnsi="宋体"/>
          <w:color w:val="000000" w:themeColor="text1"/>
          <w:szCs w:val="21"/>
          <w:highlight w:val="none"/>
          <w14:textFill>
            <w14:solidFill>
              <w14:schemeClr w14:val="tx1"/>
            </w14:solidFill>
          </w14:textFill>
        </w:rPr>
        <w:t xml:space="preserve">如有必要，甲方邀请参加本项目的其他供应商或第三方专业机构及专家参与验收，相关意见将作为验收书的参考资料。</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10.5 </w:t>
      </w:r>
      <w:r>
        <w:rPr>
          <w:rFonts w:hint="eastAsia" w:ascii="宋体" w:hAnsi="宋体"/>
          <w:color w:val="000000" w:themeColor="text1"/>
          <w:szCs w:val="21"/>
          <w:highlight w:val="none"/>
          <w14:textFill>
            <w14:solidFill>
              <w14:schemeClr w14:val="tx1"/>
            </w14:solidFill>
          </w14:textFill>
        </w:rPr>
        <w:t xml:space="preserve">甲方成立验收小组，按照采购合同的约定对乙方的履约情况进行验收。验收时</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甲方按照采购合同的约定对每一项技术、服务、安全标准的履约情况进行确认。验收结束后</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验收小组出具验收书</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列明各项标准的验收情况及项目总体评价</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10.6 </w:t>
      </w:r>
      <w:r>
        <w:rPr>
          <w:rFonts w:hint="eastAsia" w:ascii="宋体" w:hAnsi="宋体"/>
          <w:color w:val="000000" w:themeColor="text1"/>
          <w:szCs w:val="21"/>
          <w:highlight w:val="none"/>
          <w14:textFill>
            <w14:solidFill>
              <w14:schemeClr w14:val="tx1"/>
            </w14:solidFill>
          </w14:textFill>
        </w:rPr>
        <w:t xml:space="preserve">验收合格的项目</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甲方将及时报告本级财政部门。</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十一、违约责任</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11.1 </w:t>
      </w:r>
      <w:r>
        <w:rPr>
          <w:rFonts w:hint="eastAsia" w:ascii="宋体" w:hAnsi="宋体"/>
          <w:color w:val="000000" w:themeColor="text1"/>
          <w:szCs w:val="21"/>
          <w:highlight w:val="none"/>
          <w14:textFill>
            <w14:solidFill>
              <w14:schemeClr w14:val="tx1"/>
            </w14:solidFill>
          </w14:textFill>
        </w:rPr>
        <w:t xml:space="preserve">甲方无正当理由拒绝接受乙方提供服务的，甲方向乙方偿付拒绝接受服务合同价款总值的违约金。</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11.2 </w:t>
      </w:r>
      <w:r>
        <w:rPr>
          <w:rFonts w:hint="eastAsia" w:ascii="宋体" w:hAnsi="宋体"/>
          <w:color w:val="000000" w:themeColor="text1"/>
          <w:szCs w:val="21"/>
          <w:highlight w:val="none"/>
          <w14:textFill>
            <w14:solidFill>
              <w14:schemeClr w14:val="tx1"/>
            </w14:solidFill>
          </w14:textFill>
        </w:rPr>
        <w:t xml:space="preserve">甲方无故逾期验收和办理合同款项支付手续的</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甲方应按逾期付款总额每日向乙方支付违约金。</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11.3 </w:t>
      </w:r>
      <w:r>
        <w:rPr>
          <w:rFonts w:hint="eastAsia" w:ascii="宋体" w:hAnsi="宋体"/>
          <w:color w:val="000000" w:themeColor="text1"/>
          <w:szCs w:val="21"/>
          <w:highlight w:val="none"/>
          <w14:textFill>
            <w14:solidFill>
              <w14:schemeClr w14:val="tx1"/>
            </w14:solidFill>
          </w14:textFill>
        </w:rPr>
        <w:t xml:space="preserve">乙方逾期提供服务的，乙方应按逾期提供服务合同总额每日千分之六向甲方支付违约金，由甲方从待付合同款项中扣除。逾期超过约定日期</w:t>
      </w:r>
      <w:r>
        <w:rPr>
          <w:rFonts w:ascii="宋体" w:hAnsi="宋体"/>
          <w:color w:val="000000" w:themeColor="text1"/>
          <w:szCs w:val="21"/>
          <w:highlight w:val="none"/>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rPr>
          <w:rFonts w:ascii="宋体" w:hAnsi="宋体"/>
          <w:color w:val="000000" w:themeColor="text1"/>
          <w:szCs w:val="21"/>
          <w:highlight w:val="none"/>
          <w14:textFill>
            <w14:solidFill>
              <w14:schemeClr w14:val="tx1"/>
            </w14:solidFill>
          </w14:textFill>
        </w:rPr>
        <w:t xml:space="preserve"> </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11.4 </w:t>
      </w:r>
      <w:r>
        <w:rPr>
          <w:rFonts w:hint="eastAsia" w:ascii="宋体" w:hAnsi="宋体"/>
          <w:color w:val="000000" w:themeColor="text1"/>
          <w:szCs w:val="21"/>
          <w:highlight w:val="none"/>
          <w14:textFill>
            <w14:solidFill>
              <w14:schemeClr w14:val="tx1"/>
            </w14:solidFill>
          </w14:textFill>
        </w:rPr>
        <w:t xml:space="preserve">乙方所提供服务的标准不符合合同规定及招标文件规定标准的，甲方有权拒绝接受服务，并可单方面解除合同。</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十二、不可抗力事件处理</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12.1 </w:t>
      </w:r>
      <w:r>
        <w:rPr>
          <w:rFonts w:hint="eastAsia" w:ascii="宋体" w:hAnsi="宋体"/>
          <w:color w:val="000000" w:themeColor="text1"/>
          <w:szCs w:val="21"/>
          <w:highlight w:val="none"/>
          <w14:textFill>
            <w14:solidFill>
              <w14:schemeClr w14:val="tx1"/>
            </w14:solidFill>
          </w14:textFill>
        </w:rPr>
        <w:t xml:space="preserve">在合同有效期内，任何一方因不可抗力事件导致不能履行合同，则合同履行期可延长，其延长期与不可抗力影响期相同。</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12.2 </w:t>
      </w:r>
      <w:r>
        <w:rPr>
          <w:rFonts w:hint="eastAsia" w:ascii="宋体" w:hAnsi="宋体"/>
          <w:color w:val="000000" w:themeColor="text1"/>
          <w:szCs w:val="21"/>
          <w:highlight w:val="none"/>
          <w14:textFill>
            <w14:solidFill>
              <w14:schemeClr w14:val="tx1"/>
            </w14:solidFill>
          </w14:textFill>
        </w:rPr>
        <w:t xml:space="preserve">不可抗力事件发生后，应立即通知对方，并寄送有关权威机构出具的证明。</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12.3 </w:t>
      </w:r>
      <w:r>
        <w:rPr>
          <w:rFonts w:hint="eastAsia" w:ascii="宋体" w:hAnsi="宋体"/>
          <w:color w:val="000000" w:themeColor="text1"/>
          <w:szCs w:val="21"/>
          <w:highlight w:val="none"/>
          <w14:textFill>
            <w14:solidFill>
              <w14:schemeClr w14:val="tx1"/>
            </w14:solidFill>
          </w14:textFill>
        </w:rPr>
        <w:t xml:space="preserve">不可抗力事件延续</w:t>
      </w:r>
      <w:r>
        <w:rPr>
          <w:rFonts w:ascii="宋体" w:hAnsi="宋体"/>
          <w:color w:val="000000" w:themeColor="text1"/>
          <w:szCs w:val="21"/>
          <w:highlight w:val="none"/>
          <w14:textFill>
            <w14:solidFill>
              <w14:schemeClr w14:val="tx1"/>
            </w14:solidFill>
          </w14:textFill>
        </w:rPr>
        <w:t xml:space="preserve">120</w:t>
      </w:r>
      <w:r>
        <w:rPr>
          <w:rFonts w:hint="eastAsia" w:ascii="宋体" w:hAnsi="宋体"/>
          <w:color w:val="000000" w:themeColor="text1"/>
          <w:szCs w:val="21"/>
          <w:highlight w:val="none"/>
          <w14:textFill>
            <w14:solidFill>
              <w14:schemeClr w14:val="tx1"/>
            </w14:solidFill>
          </w14:textFill>
        </w:rPr>
        <w:t xml:space="preserve">天以上，双方应通过友好协商，确定是否继续履行合同。</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十三、解决争议的方法</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13.1</w:t>
      </w:r>
      <w:r>
        <w:rPr>
          <w:rFonts w:hint="eastAsia" w:ascii="宋体" w:hAnsi="宋体"/>
          <w:color w:val="000000" w:themeColor="text1"/>
          <w:szCs w:val="21"/>
          <w:highlight w:val="none"/>
          <w14:textFill>
            <w14:solidFill>
              <w14:schemeClr w14:val="tx1"/>
            </w14:solidFill>
          </w14:textFill>
        </w:rPr>
        <w:t xml:space="preserve">双方在签订、履行合同中所发生的一切争议，应通过友好协商解决。如协商不成，由甲方住所地人民法院管辖。</w:t>
      </w:r>
      <w:r/>
    </w:p>
    <w:p>
      <w:pPr>
        <w:jc w:val="left"/>
        <w:spacing w:line="360" w:lineRule="auto"/>
        <w:widowControl/>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十四、合同生效及其它</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14.1 </w:t>
      </w:r>
      <w:r>
        <w:rPr>
          <w:rFonts w:hint="eastAsia" w:ascii="宋体" w:hAnsi="宋体"/>
          <w:color w:val="000000" w:themeColor="text1"/>
          <w:szCs w:val="21"/>
          <w:highlight w:val="none"/>
          <w14:textFill>
            <w14:solidFill>
              <w14:schemeClr w14:val="tx1"/>
            </w14:solidFill>
          </w14:textFill>
        </w:rPr>
        <w:t xml:space="preserve">合同经双方法定代表人或授权委托代表人签字并加盖单位公章后生效。</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14.2</w:t>
      </w:r>
      <w:r>
        <w:rPr>
          <w:rFonts w:hint="eastAsia" w:ascii="宋体" w:hAnsi="宋体"/>
          <w:color w:val="000000" w:themeColor="text1"/>
          <w:szCs w:val="21"/>
          <w:highlight w:val="none"/>
          <w14:textFill>
            <w14:solidFill>
              <w14:schemeClr w14:val="tx1"/>
            </w14:solidFill>
          </w14:textFill>
        </w:rPr>
        <w:t xml:space="preserve">本合同履约期满，经甲方考核合格后，可续签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年。</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14.3</w:t>
      </w:r>
      <w:r>
        <w:rPr>
          <w:rFonts w:hint="eastAsia" w:ascii="宋体" w:hAnsi="宋体"/>
          <w:color w:val="000000" w:themeColor="text1"/>
          <w:szCs w:val="21"/>
          <w:highlight w:val="none"/>
          <w14:textFill>
            <w14:solidFill>
              <w14:schemeClr w14:val="tx1"/>
            </w14:solidFill>
          </w14:textFill>
        </w:rPr>
        <w:t xml:space="preserve">本合同未尽事宜，遵照中华人民共和国现行法律法规有关条文执行。</w:t>
      </w:r>
      <w:r/>
    </w:p>
    <w:p>
      <w:pPr>
        <w:ind w:firstLine="424"/>
        <w:jc w:val="left"/>
        <w:spacing w:line="360" w:lineRule="auto"/>
        <w:widowControl/>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14.4 </w:t>
      </w:r>
      <w:r>
        <w:rPr>
          <w:rFonts w:hint="eastAsia" w:ascii="宋体" w:hAnsi="宋体"/>
          <w:color w:val="000000" w:themeColor="text1"/>
          <w:szCs w:val="21"/>
          <w:highlight w:val="none"/>
          <w14:textFill>
            <w14:solidFill>
              <w14:schemeClr w14:val="tx1"/>
            </w14:solidFill>
          </w14:textFill>
        </w:rPr>
        <w:t xml:space="preserve">本合同正本一式</w:t>
      </w:r>
      <w:r>
        <w:rPr>
          <w:rFonts w:hint="eastAsia" w:ascii="宋体" w:hAnsi="宋体"/>
          <w:color w:val="000000" w:themeColor="text1"/>
          <w:szCs w:val="21"/>
          <w:highlight w:val="none"/>
          <w:lang w:val="en-US" w:eastAsia="zh-CN"/>
          <w14:textFill>
            <w14:solidFill>
              <w14:schemeClr w14:val="tx1"/>
            </w14:solidFill>
          </w14:textFill>
        </w:rPr>
        <w:t xml:space="preserve">陆</w:t>
      </w:r>
      <w:r>
        <w:rPr>
          <w:rFonts w:hint="eastAsia" w:ascii="宋体" w:hAnsi="宋体"/>
          <w:color w:val="000000" w:themeColor="text1"/>
          <w:szCs w:val="21"/>
          <w:highlight w:val="none"/>
          <w14:textFill>
            <w14:solidFill>
              <w14:schemeClr w14:val="tx1"/>
            </w14:solidFill>
          </w14:textFill>
        </w:rPr>
        <w:t xml:space="preserve">份，具有同等法律效力，甲方、乙方</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见证方</w:t>
      </w:r>
      <w:r>
        <w:rPr>
          <w:rFonts w:hint="eastAsia" w:ascii="宋体" w:hAnsi="宋体"/>
          <w:color w:val="000000" w:themeColor="text1"/>
          <w:szCs w:val="21"/>
          <w:highlight w:val="none"/>
          <w14:textFill>
            <w14:solidFill>
              <w14:schemeClr w14:val="tx1"/>
            </w14:solidFill>
          </w14:textFill>
        </w:rPr>
        <w:t xml:space="preserve">各执</w:t>
      </w:r>
      <w:r>
        <w:rPr>
          <w:rFonts w:hint="eastAsia" w:ascii="宋体" w:hAnsi="宋体"/>
          <w:color w:val="000000" w:themeColor="text1"/>
          <w:szCs w:val="21"/>
          <w:highlight w:val="none"/>
          <w:lang w:val="en-US" w:eastAsia="zh-CN"/>
          <w14:textFill>
            <w14:solidFill>
              <w14:schemeClr w14:val="tx1"/>
            </w14:solidFill>
          </w14:textFill>
        </w:rPr>
        <w:t xml:space="preserve">贰</w:t>
      </w:r>
      <w:r>
        <w:rPr>
          <w:rFonts w:hint="eastAsia" w:ascii="宋体" w:hAnsi="宋体"/>
          <w:color w:val="000000" w:themeColor="text1"/>
          <w:szCs w:val="21"/>
          <w:highlight w:val="none"/>
          <w14:textFill>
            <w14:solidFill>
              <w14:schemeClr w14:val="tx1"/>
            </w14:solidFill>
          </w14:textFill>
        </w:rPr>
        <w:t xml:space="preserve">份。</w:t>
      </w:r>
      <w:r>
        <w:rPr>
          <w:rFonts w:ascii="宋体" w:hAnsi="宋体"/>
          <w:color w:val="000000" w:themeColor="text1"/>
          <w:szCs w:val="21"/>
          <w:highlight w:val="none"/>
          <w14:textFill>
            <w14:solidFill>
              <w14:schemeClr w14:val="tx1"/>
            </w14:solidFill>
          </w14:textFill>
        </w:rPr>
        <w:t xml:space="preserve"> </w:t>
      </w:r>
      <w:r/>
    </w:p>
    <w:p>
      <w:pPr>
        <w:jc w:val="left"/>
        <w:spacing w:line="360" w:lineRule="auto"/>
        <w:widowControl/>
        <w:tabs>
          <w:tab w:val="left" w:pos="4253"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甲方：                   </w:t>
      </w:r>
      <w:r>
        <w:rPr>
          <w:rFonts w:ascii="宋体" w:hAnsi="宋体"/>
          <w:color w:val="000000" w:themeColor="text1"/>
          <w:szCs w:val="21"/>
          <w:highlight w:val="none"/>
          <w14:textFill>
            <w14:solidFill>
              <w14:schemeClr w14:val="tx1"/>
            </w14:solidFill>
          </w14:textFill>
        </w:rPr>
        <w:tab/>
      </w:r>
      <w:r>
        <w:rPr>
          <w:rFonts w:ascii="宋体" w:hAnsi="宋体"/>
          <w:color w:val="000000" w:themeColor="text1"/>
          <w:szCs w:val="21"/>
          <w:highlight w:val="none"/>
          <w14:textFill>
            <w14:solidFill>
              <w14:schemeClr w14:val="tx1"/>
            </w14:solidFill>
          </w14:textFill>
        </w:rPr>
        <w:t xml:space="preserve">乙方： </w:t>
      </w:r>
      <w:r/>
    </w:p>
    <w:p>
      <w:pPr>
        <w:jc w:val="left"/>
        <w:spacing w:line="360" w:lineRule="auto"/>
        <w:widowControl/>
        <w:tabs>
          <w:tab w:val="left" w:pos="4253"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地址：                 </w:t>
      </w:r>
      <w:r>
        <w:rPr>
          <w:rFonts w:ascii="宋体" w:hAnsi="宋体"/>
          <w:color w:val="000000" w:themeColor="text1"/>
          <w:szCs w:val="21"/>
          <w:highlight w:val="none"/>
          <w14:textFill>
            <w14:solidFill>
              <w14:schemeClr w14:val="tx1"/>
            </w14:solidFill>
          </w14:textFill>
        </w:rPr>
        <w:tab/>
      </w:r>
      <w:r>
        <w:rPr>
          <w:rFonts w:ascii="宋体" w:hAnsi="宋体"/>
          <w:color w:val="000000" w:themeColor="text1"/>
          <w:szCs w:val="21"/>
          <w:highlight w:val="none"/>
          <w14:textFill>
            <w14:solidFill>
              <w14:schemeClr w14:val="tx1"/>
            </w14:solidFill>
          </w14:textFill>
        </w:rPr>
        <w:t xml:space="preserve">地址： </w:t>
      </w:r>
      <w:r/>
    </w:p>
    <w:p>
      <w:pPr>
        <w:jc w:val="left"/>
        <w:spacing w:line="360" w:lineRule="auto"/>
        <w:widowControl/>
        <w:tabs>
          <w:tab w:val="left" w:pos="4253"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法定代表人</w:t>
      </w:r>
      <w:r>
        <w:rPr>
          <w:rFonts w:hint="eastAsia" w:ascii="宋体" w:hAnsi="宋体"/>
          <w:color w:val="000000" w:themeColor="text1"/>
          <w:szCs w:val="21"/>
          <w:highlight w:val="none"/>
          <w14:textFill>
            <w14:solidFill>
              <w14:schemeClr w14:val="tx1"/>
            </w14:solidFill>
          </w14:textFill>
        </w:rPr>
        <w:t xml:space="preserve">或授权代表</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ab/>
      </w:r>
      <w:r>
        <w:rPr>
          <w:rFonts w:ascii="宋体" w:hAnsi="宋体"/>
          <w:color w:val="000000" w:themeColor="text1"/>
          <w:szCs w:val="21"/>
          <w:highlight w:val="none"/>
          <w14:textFill>
            <w14:solidFill>
              <w14:schemeClr w14:val="tx1"/>
            </w14:solidFill>
          </w14:textFill>
        </w:rPr>
        <w:t xml:space="preserve">法定代表人</w:t>
      </w:r>
      <w:r>
        <w:rPr>
          <w:rFonts w:hint="eastAsia" w:ascii="宋体" w:hAnsi="宋体"/>
          <w:color w:val="000000" w:themeColor="text1"/>
          <w:szCs w:val="21"/>
          <w:highlight w:val="none"/>
          <w14:textFill>
            <w14:solidFill>
              <w14:schemeClr w14:val="tx1"/>
            </w14:solidFill>
          </w14:textFill>
        </w:rPr>
        <w:t xml:space="preserve">或授权代表</w:t>
      </w:r>
      <w:r>
        <w:rPr>
          <w:rFonts w:ascii="宋体" w:hAnsi="宋体"/>
          <w:color w:val="000000" w:themeColor="text1"/>
          <w:szCs w:val="21"/>
          <w:highlight w:val="none"/>
          <w14:textFill>
            <w14:solidFill>
              <w14:schemeClr w14:val="tx1"/>
            </w14:solidFill>
          </w14:textFill>
        </w:rPr>
        <w:t xml:space="preserve">：</w:t>
      </w:r>
      <w:r/>
    </w:p>
    <w:p>
      <w:pPr>
        <w:jc w:val="left"/>
        <w:spacing w:line="360" w:lineRule="auto"/>
        <w:widowControl/>
        <w:tabs>
          <w:tab w:val="left" w:pos="4253"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                </w:t>
      </w:r>
      <w:r>
        <w:rPr>
          <w:rFonts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联系电话：          </w:t>
      </w:r>
      <w:r/>
    </w:p>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签订日期：      年  月</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签订日期：      年  月</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jc w:val="left"/>
        <w:spacing w:line="360" w:lineRule="auto"/>
        <w:widowControl/>
        <w:tabs>
          <w:tab w:val="left" w:pos="4253" w:leader="none"/>
        </w:tabs>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r>
      <w:r/>
    </w:p>
    <w:p>
      <w:pPr>
        <w:jc w:val="left"/>
        <w:spacing w:line="360" w:lineRule="auto"/>
        <w:widowControl/>
        <w:tabs>
          <w:tab w:val="left" w:pos="4253" w:leader="none"/>
        </w:tabs>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见证方：</w:t>
      </w:r>
      <w:r/>
    </w:p>
    <w:p>
      <w:pPr>
        <w:jc w:val="both"/>
        <w:keepLines/>
        <w:keepNext/>
        <w:spacing w:before="120" w:after="120" w:line="360" w:lineRule="auto"/>
        <w:rPr>
          <w:b/>
          <w:bCs/>
          <w:color w:val="000000" w:themeColor="text1"/>
          <w:sz w:val="40"/>
          <w:szCs w:val="52"/>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t xml:space="preserve">签订日期：      年  月</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rPr>
          <w:rFonts w:ascii="宋体" w:cs="黑体"/>
          <w:b/>
          <w:bCs/>
          <w:color w:val="000000" w:themeColor="text1"/>
          <w:szCs w:val="21"/>
          <w:highlight w:val="none"/>
          <w14:textFill>
            <w14:solidFill>
              <w14:schemeClr w14:val="tx1"/>
            </w14:solidFill>
          </w14:textFill>
        </w:rPr>
      </w:pPr>
      <w:r>
        <w:rPr>
          <w:rFonts w:ascii="宋体" w:cs="黑体"/>
          <w:b/>
          <w:bCs/>
          <w:color w:val="000000" w:themeColor="text1"/>
          <w:szCs w:val="21"/>
          <w:highlight w:val="none"/>
          <w14:textFill>
            <w14:solidFill>
              <w14:schemeClr w14:val="tx1"/>
            </w14:solidFill>
          </w14:textFill>
        </w:rPr>
        <w:br w:type="page" w:clear="all"/>
      </w:r>
      <w:bookmarkEnd w:id="3"/>
      <w:r/>
      <w:r/>
    </w:p>
    <w:p>
      <w:pPr>
        <w:pStyle w:val="1037"/>
        <w:jc w:val="center"/>
        <w:spacing w:after="0" w:line="360" w:lineRule="auto"/>
        <w:rPr>
          <w:rFonts w:ascii="宋体"/>
          <w:color w:val="000000" w:themeColor="text1"/>
          <w:highlight w:val="none"/>
          <w14:textFill>
            <w14:solidFill>
              <w14:schemeClr w14:val="tx1"/>
            </w14:solidFill>
          </w14:textFill>
        </w:rPr>
      </w:pPr>
      <w:r/>
      <w:bookmarkStart w:id="34" w:name="_Toc16209"/>
      <w:r>
        <w:rPr>
          <w:rFonts w:hint="eastAsia" w:ascii="宋体" w:hAnsi="宋体"/>
          <w:color w:val="000000" w:themeColor="text1"/>
          <w:highlight w:val="none"/>
          <w14:textFill>
            <w14:solidFill>
              <w14:schemeClr w14:val="tx1"/>
            </w14:solidFill>
          </w14:textFill>
        </w:rPr>
        <w:t xml:space="preserve">第四章</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项目需求</w:t>
      </w:r>
      <w:bookmarkEnd w:id="34"/>
      <w:r/>
      <w:r/>
    </w:p>
    <w:p>
      <w:pPr>
        <w:ind w:firstLine="422"/>
        <w:spacing w:line="360" w:lineRule="auto"/>
        <w:rPr>
          <w:rFonts w:asci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其他要求</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color w:val="000000" w:themeColor="text1"/>
          <w:highlight w:val="none"/>
          <w:u w:val="singl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color w:val="000000" w:themeColor="text1"/>
          <w:highlight w:val="none"/>
          <w14:textFill>
            <w14:solidFill>
              <w14:schemeClr w14:val="tx1"/>
            </w14:solidFill>
          </w14:textFill>
        </w:rPr>
        <w:t xml:space="preserve">。其他条件相同情况下，应当优先采购节能产品、环境标志产品。</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供应商对于投标产品的包装应按照“财办库〔</w:t>
      </w:r>
      <w:r>
        <w:rPr>
          <w:rFonts w:ascii="宋体" w:hAnsi="宋体" w:cs="宋体"/>
          <w:color w:val="000000" w:themeColor="text1"/>
          <w:highlight w:val="none"/>
          <w14:textFill>
            <w14:solidFill>
              <w14:schemeClr w14:val="tx1"/>
            </w14:solidFill>
          </w14:textFill>
        </w:rPr>
        <w:t xml:space="preserve">2020</w:t>
      </w: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123</w:t>
      </w:r>
      <w:r>
        <w:rPr>
          <w:rFonts w:hint="eastAsia" w:ascii="宋体" w:hAnsi="宋体" w:cs="宋体"/>
          <w:color w:val="000000" w:themeColor="text1"/>
          <w:highlight w:val="none"/>
          <w14:textFill>
            <w14:solidFill>
              <w14:schemeClr w14:val="tx1"/>
            </w14:solidFill>
          </w14:textFill>
        </w:rPr>
        <w:t xml:space="preserve">号《关于印发《商品包装政府采购需求标准（试行）》《快递包装政府采购需求标准（试行）》的通知》”执行。</w:t>
      </w:r>
      <w:r/>
    </w:p>
    <w:p>
      <w:pPr>
        <w:jc w:val="left"/>
        <w:spacing w:line="360" w:lineRule="auto"/>
        <w:rPr>
          <w:rFonts w:asci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ind w:firstLine="480"/>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0"/>
        <w:spacing w:line="360"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采购标的对应的中小企业划分标准所属行业一览表</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4734"/>
        <w:gridCol w:w="2789"/>
      </w:tblGrid>
      <w:tr>
        <w:trPr>
          <w:cantSplit/>
          <w:jc w:val="center"/>
        </w:trPr>
        <w:tc>
          <w:tcPr>
            <w:tcW w:w="976" w:type="dxa"/>
            <w:vAlign w:val="center"/>
            <w:textDirection w:val="lrTb"/>
            <w:noWrap w:val="false"/>
          </w:tcPr>
          <w:p>
            <w:pPr>
              <w:jc w:val="center"/>
              <w:spacing w:line="336"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4734" w:type="dxa"/>
            <w:vAlign w:val="center"/>
            <w:textDirection w:val="lrTb"/>
            <w:noWrap w:val="false"/>
          </w:tcPr>
          <w:p>
            <w:pPr>
              <w:jc w:val="center"/>
              <w:spacing w:line="336"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w:t>
            </w:r>
            <w:r/>
          </w:p>
        </w:tc>
        <w:tc>
          <w:tcPr>
            <w:tcW w:w="2789" w:type="dxa"/>
            <w:vAlign w:val="center"/>
            <w:textDirection w:val="lrTb"/>
            <w:noWrap w:val="false"/>
          </w:tcPr>
          <w:p>
            <w:pPr>
              <w:jc w:val="center"/>
              <w:spacing w:line="336"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对应中小企业划分标准所属行业</w:t>
            </w:r>
            <w:r/>
          </w:p>
        </w:tc>
      </w:tr>
      <w:tr>
        <w:trPr>
          <w:cantSplit/>
          <w:jc w:val="center"/>
          <w:trHeight w:val="567"/>
        </w:trPr>
        <w:tc>
          <w:tcPr>
            <w:tcW w:w="976" w:type="dxa"/>
            <w:vAlign w:val="center"/>
            <w:textDirection w:val="lrTb"/>
            <w:noWrap w:val="false"/>
          </w:tcPr>
          <w:p>
            <w:pPr>
              <w:jc w:val="center"/>
              <w:spacing w:line="336" w:lineRule="auto"/>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p>
        </w:tc>
        <w:tc>
          <w:tcPr>
            <w:tcW w:w="4734" w:type="dxa"/>
            <w:vAlign w:val="center"/>
            <w:textDirection w:val="lrTb"/>
            <w:noWrap w:val="false"/>
          </w:tcPr>
          <w:p>
            <w:pPr>
              <w:jc w:val="center"/>
              <w:spacing w:line="336" w:lineRule="auto"/>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扬州市</w:t>
            </w:r>
            <w:r>
              <w:rPr>
                <w:rFonts w:hint="eastAsia" w:ascii="宋体" w:hAnsi="宋体" w:cs="宋体"/>
                <w:color w:val="000000" w:themeColor="text1"/>
                <w:highlight w:val="none"/>
                <w14:textFill>
                  <w14:solidFill>
                    <w14:schemeClr w14:val="tx1"/>
                  </w14:solidFill>
                </w14:textFill>
              </w:rPr>
              <w:t xml:space="preserve">江都区大桥镇镇区环卫一体化市场化项目</w:t>
            </w:r>
            <w:r/>
          </w:p>
        </w:tc>
        <w:tc>
          <w:tcPr>
            <w:tcW w:w="2789" w:type="dxa"/>
            <w:vAlign w:val="center"/>
            <w:textDirection w:val="lrTb"/>
            <w:noWrap w:val="false"/>
          </w:tcPr>
          <w:p>
            <w:pPr>
              <w:jc w:val="center"/>
              <w:spacing w:line="336"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其他未列明行业</w:t>
            </w:r>
            <w:r/>
          </w:p>
        </w:tc>
      </w:tr>
    </w:tbl>
    <w:p>
      <w:pPr>
        <w:spacing w:line="360" w:lineRule="auto"/>
        <w:rPr>
          <w:rFonts w:ascii="宋体" w:cs="宋体"/>
          <w:b/>
          <w:bCs/>
          <w:color w:val="000000" w:themeColor="text1"/>
          <w:sz w:val="24"/>
          <w:szCs w:val="24"/>
          <w:highlight w:val="none"/>
          <w14:textFill>
            <w14:solidFill>
              <w14:schemeClr w14:val="tx1"/>
            </w14:solidFill>
          </w14:textFill>
        </w:rPr>
      </w:pPr>
      <w:r>
        <w:rPr>
          <w:rFonts w:ascii="宋体" w:cs="宋体"/>
          <w:b/>
          <w:bCs/>
          <w:color w:val="000000" w:themeColor="text1"/>
          <w:sz w:val="24"/>
          <w:szCs w:val="24"/>
          <w:highlight w:val="none"/>
          <w14:textFill>
            <w14:solidFill>
              <w14:schemeClr w14:val="tx1"/>
            </w14:solidFill>
          </w14:textFill>
        </w:rPr>
      </w:r>
      <w:r/>
    </w:p>
    <w:p>
      <w:pPr>
        <w:ind w:firstLine="422"/>
        <w:spacing w:line="360" w:lineRule="auto"/>
        <w:rPr>
          <w:rFonts w:ascii="宋体" w:cs="宋体"/>
          <w:b/>
          <w:bCs/>
          <w:color w:val="000000" w:themeColor="text1"/>
          <w:sz w:val="24"/>
          <w:szCs w:val="24"/>
          <w:highlight w:val="none"/>
          <w14:textFill>
            <w14:solidFill>
              <w14:schemeClr w14:val="tx1"/>
            </w14:solidFill>
          </w14:textFill>
        </w:rPr>
      </w:pPr>
      <w:r/>
      <w:bookmarkStart w:id="35" w:name="_Toc135834394"/>
      <w:r>
        <w:rPr>
          <w:rFonts w:hint="eastAsia" w:ascii="宋体" w:hAnsi="宋体" w:cs="宋体"/>
          <w:b/>
          <w:bCs/>
          <w:color w:val="000000" w:themeColor="text1"/>
          <w:sz w:val="24"/>
          <w:szCs w:val="24"/>
          <w:highlight w:val="none"/>
          <w14:textFill>
            <w14:solidFill>
              <w14:schemeClr w14:val="tx1"/>
            </w14:solidFill>
          </w14:textFill>
        </w:rPr>
        <w:t xml:space="preserve">项目简介</w:t>
      </w:r>
      <w:bookmarkEnd w:id="35"/>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项目名称：扬州市江都区大桥镇镇区环卫一体化市场化项目</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预算金额：</w:t>
      </w:r>
      <w:r>
        <w:rPr>
          <w:rFonts w:ascii="宋体" w:hAnsi="宋体" w:cs="宋体"/>
          <w:color w:val="000000" w:themeColor="text1"/>
          <w:sz w:val="22"/>
          <w:highlight w:val="none"/>
          <w14:textFill>
            <w14:solidFill>
              <w14:schemeClr w14:val="tx1"/>
            </w14:solidFill>
          </w14:textFill>
        </w:rPr>
        <w:t xml:space="preserve">1160</w:t>
      </w:r>
      <w:r>
        <w:rPr>
          <w:rFonts w:hint="eastAsia" w:ascii="宋体" w:hAnsi="宋体" w:cs="宋体"/>
          <w:color w:val="000000" w:themeColor="text1"/>
          <w:sz w:val="22"/>
          <w:highlight w:val="none"/>
          <w14:textFill>
            <w14:solidFill>
              <w14:schemeClr w14:val="tx1"/>
            </w14:solidFill>
          </w14:textFill>
        </w:rPr>
        <w:t xml:space="preserve">万元（包</w:t>
      </w: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lang w:eastAsia="zh-CN"/>
          <w14:textFill>
            <w14:solidFill>
              <w14:schemeClr w14:val="tx1"/>
            </w14:solidFill>
          </w14:textFill>
        </w:rPr>
        <w:t xml:space="preserve">658</w:t>
      </w:r>
      <w:r>
        <w:rPr>
          <w:rFonts w:hint="eastAsia" w:ascii="宋体" w:hAnsi="宋体" w:cs="宋体"/>
          <w:color w:val="000000" w:themeColor="text1"/>
          <w:sz w:val="22"/>
          <w:highlight w:val="none"/>
          <w14:textFill>
            <w14:solidFill>
              <w14:schemeClr w14:val="tx1"/>
            </w14:solidFill>
          </w14:textFill>
        </w:rPr>
        <w:t xml:space="preserve">万元；包</w:t>
      </w:r>
      <w:r>
        <w:rPr>
          <w:rFonts w:ascii="宋体" w:hAnsi="宋体" w:cs="宋体"/>
          <w:color w:val="000000" w:themeColor="text1"/>
          <w:sz w:val="22"/>
          <w:highlight w:val="none"/>
          <w14:textFill>
            <w14:solidFill>
              <w14:schemeClr w14:val="tx1"/>
            </w14:solidFill>
          </w14:textFill>
        </w:rPr>
        <w:t xml:space="preserve">2:</w:t>
      </w:r>
      <w:r>
        <w:rPr>
          <w:rFonts w:hint="eastAsia" w:ascii="宋体" w:hAnsi="宋体" w:cs="宋体"/>
          <w:color w:val="000000" w:themeColor="text1"/>
          <w:sz w:val="22"/>
          <w:highlight w:val="none"/>
          <w:lang w:eastAsia="zh-CN"/>
          <w14:textFill>
            <w14:solidFill>
              <w14:schemeClr w14:val="tx1"/>
            </w14:solidFill>
          </w14:textFill>
        </w:rPr>
        <w:t xml:space="preserve">502</w:t>
      </w:r>
      <w:r>
        <w:rPr>
          <w:rFonts w:hint="eastAsia" w:ascii="宋体" w:hAnsi="宋体" w:cs="宋体"/>
          <w:color w:val="000000" w:themeColor="text1"/>
          <w:sz w:val="22"/>
          <w:highlight w:val="none"/>
          <w14:textFill>
            <w14:solidFill>
              <w14:schemeClr w14:val="tx1"/>
            </w14:solidFill>
          </w14:textFill>
        </w:rPr>
        <w:t xml:space="preserve">万元）</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本项目设置最高限价：</w:t>
      </w:r>
      <w:r>
        <w:rPr>
          <w:rFonts w:ascii="宋体" w:hAnsi="宋体" w:cs="宋体"/>
          <w:color w:val="000000" w:themeColor="text1"/>
          <w:sz w:val="22"/>
          <w:highlight w:val="none"/>
          <w14:textFill>
            <w14:solidFill>
              <w14:schemeClr w14:val="tx1"/>
            </w14:solidFill>
          </w14:textFill>
        </w:rPr>
        <w:t xml:space="preserve">1160</w:t>
      </w:r>
      <w:r>
        <w:rPr>
          <w:rFonts w:hint="eastAsia" w:ascii="宋体" w:hAnsi="宋体" w:cs="宋体"/>
          <w:color w:val="000000" w:themeColor="text1"/>
          <w:sz w:val="22"/>
          <w:highlight w:val="none"/>
          <w14:textFill>
            <w14:solidFill>
              <w14:schemeClr w14:val="tx1"/>
            </w14:solidFill>
          </w14:textFill>
        </w:rPr>
        <w:t xml:space="preserve">万元（包</w:t>
      </w: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lang w:eastAsia="zh-CN"/>
          <w14:textFill>
            <w14:solidFill>
              <w14:schemeClr w14:val="tx1"/>
            </w14:solidFill>
          </w14:textFill>
        </w:rPr>
        <w:t xml:space="preserve">658</w:t>
      </w:r>
      <w:r>
        <w:rPr>
          <w:rFonts w:hint="eastAsia" w:ascii="宋体" w:hAnsi="宋体" w:cs="宋体"/>
          <w:color w:val="000000" w:themeColor="text1"/>
          <w:sz w:val="22"/>
          <w:highlight w:val="none"/>
          <w14:textFill>
            <w14:solidFill>
              <w14:schemeClr w14:val="tx1"/>
            </w14:solidFill>
          </w14:textFill>
        </w:rPr>
        <w:t xml:space="preserve">万元；包</w:t>
      </w:r>
      <w:r>
        <w:rPr>
          <w:rFonts w:ascii="宋体" w:hAnsi="宋体" w:cs="宋体"/>
          <w:color w:val="000000" w:themeColor="text1"/>
          <w:sz w:val="22"/>
          <w:highlight w:val="none"/>
          <w14:textFill>
            <w14:solidFill>
              <w14:schemeClr w14:val="tx1"/>
            </w14:solidFill>
          </w14:textFill>
        </w:rPr>
        <w:t xml:space="preserve">2:</w:t>
      </w:r>
      <w:r>
        <w:rPr>
          <w:rFonts w:hint="eastAsia" w:ascii="宋体" w:hAnsi="宋体" w:cs="宋体"/>
          <w:color w:val="000000" w:themeColor="text1"/>
          <w:sz w:val="22"/>
          <w:highlight w:val="none"/>
          <w:lang w:eastAsia="zh-CN"/>
          <w14:textFill>
            <w14:solidFill>
              <w14:schemeClr w14:val="tx1"/>
            </w14:solidFill>
          </w14:textFill>
        </w:rPr>
        <w:t xml:space="preserve">502</w:t>
      </w:r>
      <w:r>
        <w:rPr>
          <w:rFonts w:hint="eastAsia" w:ascii="宋体" w:hAnsi="宋体" w:cs="宋体"/>
          <w:color w:val="000000" w:themeColor="text1"/>
          <w:sz w:val="22"/>
          <w:highlight w:val="none"/>
          <w14:textFill>
            <w14:solidFill>
              <w14:schemeClr w14:val="tx1"/>
            </w14:solidFill>
          </w14:textFill>
        </w:rPr>
        <w:t xml:space="preserve">万元）</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合同履行期限：</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年。</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采购概况：大桥镇地处江都区南部，东至</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"https://baike.baidu.com/item/%E6%B3%B0%E5%B7%9E/26886?fromModule=lemma_inlink" \t "https://baike.baidu.com/item/%E5%A4%A7%E6%A1%A5%E9%95%87/_blank"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泰州</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引江河与泰州市港区口岸镇相望，南濒</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"https://baike.baidu.com/item/%E9%95%BF%E6%B1%9F/388?fromModule=lemma_inlink" \t "https://baike.baidu.com/item/%E5%A4%A7%E6%A1%A5%E9%95%87/_blank"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长江</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、长江夹江分别与</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"https://baike.baidu.com/item/%E6%89%AC%E4%B8%AD/335973?fromModule=lemma_inlink" \t "https://baike.baidu.com/item/%E5%A4%A7%E6%A1%A5%E9%95%87/_blank"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扬中</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市</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"https://baike.baidu.com/item/%E6%96%B0%E5%9D%9D%E9%95%87/31982?fromModule=lemma_inlink" \t "https://baike.baidu.com/item/%E5%A4%A7%E6%A1%A5%E9%95%87/_blank"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新坝镇</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"https://baike.baidu.com/item/%E4%B8%89%E8%8C%85%E9%95%87/5031755?fromModule=lemma_inlink" \t "https://baike.baidu.com/item/%E5%A4%A7%E6%A1%A5%E9%95%87/_blank"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三茅镇</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和扬州</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"https://baike.baidu.com/item/%E5%B9%BF%E9%99%B5%E5%8C%BA/718254?fromModule=lemma_inlink" \t "https://baike.baidu.com/item/%E5%A4%A7%E6%A1%A5%E9%95%87/_blank"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广陵区</w:t>
      </w:r>
      <w:r>
        <w:rPr>
          <w:rFonts w:hint="eastAsia" w:ascii="宋体" w:hAnsi="宋体" w:cs="宋体"/>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"https://baike.baidu.com/item/%E5%A4%B4%E6%A1%A5%E9%95%87/8860859?fromModule=lemma_inlink" \t "https://baike.baidu.com/item/%E5%A4%A7%E6%A1%A5%E9%95%87/_blank"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头桥镇</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交界，西接</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"https://baike.baidu.com/item/%E4%BB%99%E5%A5%B3%E9%95%87/8118?fromModule=lemma_inlink" \t "https://baike.baidu.com/item/%E5%A4%A7%E6%A1%A5%E9%95%87/_blank"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仙女镇</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，北临</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"https://baike.baidu.com/item/%E5%AE%9C%E9%99%B5%E9%95%87/3963612?fromModule=lemma_inlink" \t "https://baike.baidu.com/item/%E5%A4%A7%E6%A1%A5%E9%95%87/_blank"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宜陵镇</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，辖区总面积</w:t>
      </w:r>
      <w:r>
        <w:rPr>
          <w:rFonts w:ascii="宋体" w:hAnsi="宋体" w:cs="宋体"/>
          <w:color w:val="000000" w:themeColor="text1"/>
          <w:highlight w:val="none"/>
          <w14:textFill>
            <w14:solidFill>
              <w14:schemeClr w14:val="tx1"/>
            </w14:solidFill>
          </w14:textFill>
        </w:rPr>
        <w:t xml:space="preserve">155.66</w:t>
      </w:r>
      <w:r>
        <w:rPr>
          <w:rFonts w:hint="eastAsia" w:ascii="宋体" w:hAnsi="宋体" w:cs="宋体"/>
          <w:color w:val="000000" w:themeColor="text1"/>
          <w:highlight w:val="none"/>
          <w14:textFill>
            <w14:solidFill>
              <w14:schemeClr w14:val="tx1"/>
            </w14:solidFill>
          </w14:textFill>
        </w:rPr>
        <w:t xml:space="preserve">平方千米。</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国家、省、市、区有关文件精神，为进一步深化环卫改革，江都将在全区建立市场化运作、政府监管、协调顺畅、高效运行的城乡环卫作业体系，利用社会企业的先进技术和管理优势，提升城乡生活垃圾分类和治理水平，减轻政府投入压力，提高生活垃圾无害化、减量化、资源化处置时效。</w:t>
      </w:r>
      <w:r/>
    </w:p>
    <w:p>
      <w:pPr>
        <w:ind w:firstLine="562"/>
        <w:jc w:val="center"/>
        <w:spacing w:line="360" w:lineRule="auto"/>
        <w:rPr>
          <w:rFonts w:ascii="宋体" w:cs="宋体"/>
          <w:b/>
          <w:bCs/>
          <w:color w:val="000000" w:themeColor="text1"/>
          <w:sz w:val="28"/>
          <w:szCs w:val="28"/>
          <w:highlight w:val="none"/>
          <w14:textFill>
            <w14:solidFill>
              <w14:schemeClr w14:val="tx1"/>
            </w14:solidFill>
          </w14:textFill>
        </w:rPr>
        <w:outlineLvl w:val="0"/>
      </w:pPr>
      <w:r>
        <w:rPr>
          <w:rFonts w:ascii="宋体" w:cs="宋体"/>
          <w:b/>
          <w:bCs/>
          <w:color w:val="000000" w:themeColor="text1"/>
          <w:sz w:val="28"/>
          <w:szCs w:val="28"/>
          <w:highlight w:val="none"/>
          <w14:textFill>
            <w14:solidFill>
              <w14:schemeClr w14:val="tx1"/>
            </w14:solidFill>
          </w14:textFill>
        </w:rPr>
      </w:r>
      <w:r/>
    </w:p>
    <w:p>
      <w:pPr>
        <w:ind w:firstLine="562"/>
        <w:jc w:val="center"/>
        <w:spacing w:line="360" w:lineRule="auto"/>
        <w:rPr>
          <w:rFonts w:ascii="宋体" w:cs="宋体"/>
          <w:b/>
          <w:bCs/>
          <w:color w:val="000000" w:themeColor="text1"/>
          <w:sz w:val="28"/>
          <w:szCs w:val="28"/>
          <w:highlight w:val="none"/>
          <w14:textFill>
            <w14:solidFill>
              <w14:schemeClr w14:val="tx1"/>
            </w14:solidFill>
          </w14:textFill>
        </w:rPr>
        <w:outlineLvl w:val="0"/>
      </w:pPr>
      <w:r>
        <w:rPr>
          <w:rFonts w:ascii="宋体" w:cs="宋体"/>
          <w:b/>
          <w:bCs/>
          <w:color w:val="000000" w:themeColor="text1"/>
          <w:sz w:val="28"/>
          <w:szCs w:val="28"/>
          <w:highlight w:val="none"/>
          <w14:textFill>
            <w14:solidFill>
              <w14:schemeClr w14:val="tx1"/>
            </w14:solidFill>
          </w14:textFill>
        </w:rPr>
      </w:r>
      <w:r/>
    </w:p>
    <w:p>
      <w:pPr>
        <w:ind w:firstLine="562"/>
        <w:jc w:val="center"/>
        <w:spacing w:line="360" w:lineRule="auto"/>
        <w:rPr>
          <w:rFonts w:asci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28"/>
          <w:szCs w:val="28"/>
          <w:highlight w:val="none"/>
          <w14:textFill>
            <w14:solidFill>
              <w14:schemeClr w14:val="tx1"/>
            </w14:solidFill>
          </w14:textFill>
        </w:rPr>
        <w:t xml:space="preserve">包</w:t>
      </w:r>
      <w:r>
        <w:rPr>
          <w:rFonts w:ascii="宋体" w:hAnsi="宋体" w:cs="宋体"/>
          <w:b/>
          <w:bCs/>
          <w:color w:val="000000" w:themeColor="text1"/>
          <w:sz w:val="28"/>
          <w:szCs w:val="28"/>
          <w:highlight w:val="none"/>
          <w14:textFill>
            <w14:solidFill>
              <w14:schemeClr w14:val="tx1"/>
            </w14:solidFill>
          </w14:textFill>
        </w:rPr>
        <w:t xml:space="preserve">1</w:t>
      </w:r>
      <w:r>
        <w:rPr>
          <w:rFonts w:hint="eastAsia" w:ascii="宋体" w:hAnsi="宋体" w:cs="宋体"/>
          <w:b/>
          <w:bCs/>
          <w:color w:val="000000" w:themeColor="text1"/>
          <w:sz w:val="28"/>
          <w:szCs w:val="28"/>
          <w:highlight w:val="none"/>
          <w14:textFill>
            <w14:solidFill>
              <w14:schemeClr w14:val="tx1"/>
            </w14:solidFill>
          </w14:textFill>
        </w:rPr>
        <w:t xml:space="preserve">项目需求：</w:t>
      </w:r>
      <w:r/>
    </w:p>
    <w:p>
      <w:pPr>
        <w:ind w:firstLine="422"/>
        <w:spacing w:line="360" w:lineRule="auto"/>
        <w:rPr>
          <w:color w:val="000000" w:themeColor="text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一、作业区域及作业内容</w:t>
      </w:r>
      <w:r/>
    </w:p>
    <w:p>
      <w:pPr>
        <w:ind w:firstLine="422"/>
        <w:spacing w:line="360" w:lineRule="auto"/>
        <w:rPr>
          <w:rFonts w:asci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包</w:t>
      </w:r>
      <w:r>
        <w:rPr>
          <w:rFonts w:ascii="宋体" w:hAnsi="宋体" w:cs="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14:textFill>
            <w14:solidFill>
              <w14:schemeClr w14:val="tx1"/>
            </w14:solidFill>
          </w14:textFill>
        </w:rPr>
        <w:t xml:space="preserve">服务区域：安大路以西（大桥、中闸、花荡集镇）</w:t>
      </w:r>
      <w:r/>
    </w:p>
    <w:tbl>
      <w:tblPr>
        <w:tblStyle w:val="819"/>
        <w:tblW w:w="0" w:type="auto"/>
        <w:jc w:val="center"/>
        <w:tblLayout w:type="fixed"/>
        <w:tblCellMar>
          <w:left w:w="108" w:type="dxa"/>
          <w:top w:w="0" w:type="dxa"/>
          <w:right w:w="108" w:type="dxa"/>
          <w:bottom w:w="0" w:type="dxa"/>
        </w:tblCellMar>
        <w:tblLook w:val="04A0" w:firstRow="1" w:lastRow="0" w:firstColumn="1" w:lastColumn="0" w:noHBand="0" w:noVBand="1"/>
      </w:tblPr>
      <w:tblGrid>
        <w:gridCol w:w="768"/>
        <w:gridCol w:w="617"/>
        <w:gridCol w:w="1546"/>
        <w:gridCol w:w="5768"/>
      </w:tblGrid>
      <w:tr>
        <w:trPr>
          <w:jc w:val="center"/>
          <w:trHeight w:val="756"/>
        </w:trPr>
        <w:tc>
          <w:tcPr>
            <w:tcBorders>
              <w:top w:val="single" w:color="auto" w:sz="4" w:space="0"/>
              <w:left w:val="single" w:color="auto" w:sz="4" w:space="0"/>
              <w:bottom w:val="single" w:color="000000" w:sz="4" w:space="0"/>
              <w:right w:val="single" w:color="000000" w:sz="4" w:space="0"/>
            </w:tcBorders>
            <w:tcW w:w="768" w:type="dxa"/>
            <w:vAlign w:val="center"/>
            <w:textDirection w:val="lrTb"/>
            <w:noWrap/>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gridSpan w:val="2"/>
            <w:tcBorders>
              <w:top w:val="single" w:color="auto"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tcBorders>
              <w:top w:val="single" w:color="auto"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范围</w:t>
            </w:r>
            <w:r/>
          </w:p>
        </w:tc>
      </w:tr>
      <w:tr>
        <w:trPr>
          <w:jc w:val="center"/>
          <w:trHeight w:val="979"/>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大桥镇区</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东至安大路（兴港路）、西至大宜路、南至白沙路、北至江平路；永济、仁寿社区四址外全域</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vMerge w:val="restart"/>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闸</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集</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镇</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双桥路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兴港路至兴港社区</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三星小区</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全域</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农贸市场</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市场内</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兴港社区</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辖区内全域</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vMerge w:val="restart"/>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花</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荡</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镇</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区</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花荡北路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大宜路至幼儿园</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育才路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光明南路至小学</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光明南路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江平线至启于村部</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钢花路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光明南路至大宜路</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农贸市场</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市场内</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花苑社区</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辖区内全域</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江平路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曹王界至童兴加油站</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5</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大宜路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宜陵界至沿江公路</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东园南路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白沙路至沿江公路</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白沙路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S345</w:t>
            </w:r>
            <w:r>
              <w:rPr>
                <w:rFonts w:hint="eastAsia" w:ascii="宋体" w:hAnsi="宋体" w:cs="宋体"/>
                <w:color w:val="000000" w:themeColor="text1"/>
                <w:szCs w:val="21"/>
                <w:highlight w:val="none"/>
                <w14:textFill>
                  <w14:solidFill>
                    <w14:schemeClr w14:val="tx1"/>
                  </w14:solidFill>
                </w14:textFill>
              </w:rPr>
              <w:t xml:space="preserve">至兴港路</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8</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香榭北路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光明路至淮园路</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9</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香佘南路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白沙路至中山路</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10</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光明路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新城路至白沙路</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北华路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大宜路至光明花苑西侧</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12</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淮园路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北华路至滨江路</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13</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滨江路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白沙路至淮园路</w:t>
            </w:r>
            <w:r/>
          </w:p>
        </w:tc>
      </w:tr>
      <w:tr>
        <w:trPr>
          <w:jc w:val="center"/>
          <w:trHeight w:val="41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14</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沿江公路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中海北门至中三西路</w:t>
            </w:r>
            <w:r/>
          </w:p>
        </w:tc>
      </w:tr>
      <w:tr>
        <w:trPr>
          <w:jc w:val="center"/>
          <w:trHeight w:val="385"/>
        </w:trPr>
        <w:tc>
          <w:tcPr>
            <w:tcBorders>
              <w:top w:val="single" w:color="000000" w:sz="4" w:space="0"/>
              <w:left w:val="single" w:color="auto" w:sz="4" w:space="0"/>
              <w:bottom w:val="single" w:color="000000"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15</w:t>
            </w:r>
            <w:r/>
          </w:p>
        </w:tc>
        <w:tc>
          <w:tcPr>
            <w:gridSpan w:val="2"/>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通江东西路</w:t>
            </w:r>
            <w:r/>
          </w:p>
        </w:tc>
        <w:tc>
          <w:tcPr>
            <w:tcBorders>
              <w:top w:val="single" w:color="000000" w:sz="4" w:space="0"/>
              <w:left w:val="single" w:color="000000" w:sz="4" w:space="0"/>
              <w:bottom w:val="single" w:color="000000"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白沙路至中海</w:t>
            </w:r>
            <w:r/>
          </w:p>
        </w:tc>
      </w:tr>
      <w:tr>
        <w:trPr>
          <w:jc w:val="center"/>
          <w:trHeight w:val="402"/>
        </w:trPr>
        <w:tc>
          <w:tcPr>
            <w:tcBorders>
              <w:top w:val="single" w:color="000000" w:sz="4" w:space="0"/>
              <w:left w:val="single" w:color="auto" w:sz="4" w:space="0"/>
              <w:bottom w:val="single" w:color="auto" w:sz="4" w:space="0"/>
              <w:right w:val="single" w:color="000000" w:sz="4" w:space="0"/>
            </w:tcBorders>
            <w:tcW w:w="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16</w:t>
            </w:r>
            <w:r/>
          </w:p>
        </w:tc>
        <w:tc>
          <w:tcPr>
            <w:gridSpan w:val="2"/>
            <w:tcBorders>
              <w:top w:val="single" w:color="000000" w:sz="4" w:space="0"/>
              <w:left w:val="single" w:color="000000" w:sz="4" w:space="0"/>
              <w:bottom w:val="single" w:color="auto" w:sz="4" w:space="0"/>
              <w:right w:val="single" w:color="000000" w:sz="4" w:space="0"/>
            </w:tcBorders>
            <w:tcW w:w="216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中转站</w:t>
            </w:r>
            <w:r/>
          </w:p>
        </w:tc>
        <w:tc>
          <w:tcPr>
            <w:tcBorders>
              <w:top w:val="single" w:color="000000" w:sz="4" w:space="0"/>
              <w:left w:val="single" w:color="000000" w:sz="4" w:space="0"/>
              <w:bottom w:val="single" w:color="auto" w:sz="4" w:space="0"/>
              <w:right w:val="single" w:color="auto" w:sz="4" w:space="0"/>
            </w:tcBorders>
            <w:tcW w:w="5768"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大桥中转站一座</w:t>
            </w:r>
            <w:r/>
          </w:p>
        </w:tc>
      </w:tr>
    </w:tbl>
    <w:p>
      <w:pPr>
        <w:rPr>
          <w:rFonts w:ascii="宋体" w:cs="宋体"/>
          <w:b/>
          <w:bCs/>
          <w:color w:val="000000" w:themeColor="text1"/>
          <w:szCs w:val="21"/>
          <w:highlight w:val="none"/>
          <w14:textFill>
            <w14:solidFill>
              <w14:schemeClr w14:val="tx1"/>
            </w14:solidFill>
          </w14:textFill>
        </w:rPr>
      </w:pPr>
      <w:r>
        <w:rPr>
          <w:rFonts w:ascii="宋体" w:cs="宋体"/>
          <w:b/>
          <w:bCs/>
          <w:color w:val="000000" w:themeColor="text1"/>
          <w:szCs w:val="21"/>
          <w:highlight w:val="none"/>
          <w14:textFill>
            <w14:solidFill>
              <w14:schemeClr w14:val="tx1"/>
            </w14:solidFill>
          </w14:textFill>
        </w:rPr>
      </w:r>
      <w:r/>
    </w:p>
    <w:p>
      <w:pPr>
        <w:rPr>
          <w:rFonts w:ascii="宋体" w:cs="宋体"/>
          <w:b/>
          <w:bCs/>
          <w:color w:val="000000" w:themeColor="text1"/>
          <w:szCs w:val="21"/>
          <w:highlight w:val="none"/>
          <w14:textFill>
            <w14:solidFill>
              <w14:schemeClr w14:val="tx1"/>
            </w14:solidFill>
          </w14:textFill>
        </w:rPr>
      </w:pPr>
      <w:r>
        <w:rPr>
          <w:rFonts w:ascii="宋体" w:cs="宋体"/>
          <w:b/>
          <w:bCs/>
          <w:color w:val="000000" w:themeColor="text1"/>
          <w:szCs w:val="21"/>
          <w:highlight w:val="none"/>
          <w14:textFill>
            <w14:solidFill>
              <w14:schemeClr w14:val="tx1"/>
            </w14:solidFill>
          </w14:textFill>
        </w:rPr>
        <w:br w:type="page" w:clear="all"/>
      </w:r>
      <w:r/>
    </w:p>
    <w:p>
      <w:pPr>
        <w:rPr>
          <w:rFonts w:asci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包</w:t>
      </w:r>
      <w:r>
        <w:rPr>
          <w:rFonts w:ascii="宋体" w:hAnsi="宋体" w:cs="宋体"/>
          <w:b/>
          <w:bCs/>
          <w:color w:val="000000" w:themeColor="text1"/>
          <w:szCs w:val="21"/>
          <w:highlight w:val="none"/>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作业内容：</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）镇区道路清扫保洁：服务区域内机动车道、非机动车道、人行道、背街小巷、桥梁、村庄等，“横向到边，纵向到底”清扫保洁。</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）生活垃圾收运：每日定时定点巡回收集区域内生活垃圾、其他垃圾、有害垃圾和可回收物，并运输至中转站处置。</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）道路机械化保洁作业：区域内机动车道、非机动车道、人行道可进行机械化洗扫的，应扫尽扫。</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）垃圾容器清洗：服务区域内所有的的垃圾桶、果壳箱擦拭、清洗。</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）小广告清理：服务区域内墙面、地面、电线杆、公交站台等处的小广告清理。</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）绿化带保洁：服务区域内道路两侧绿化隔离带、景观绿岛等捡拾保洁。</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）大气防控作业：根据大气防控的作业要求开展相关工作，常态化洒水降尘。</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）公厕保洁：服务区域内所有公厕进行巡回保洁。</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）中转站运营管理作业：配备专职操作员进行日常运营管理。</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）大件垃圾、建筑装修垃圾及乱倒垃圾处置运行服务：大件垃圾、建筑装修垃圾、乱倒垃圾等进行规范清运处置。</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）生活垃圾分类宣传和收运：按分类要求收集和运输，定期开展生活垃圾分类宣传、指导。</w:t>
      </w:r>
      <w:r/>
    </w:p>
    <w:p>
      <w:pPr>
        <w:ind w:firstLine="420"/>
        <w:spacing w:line="360" w:lineRule="auto"/>
        <w:tabs>
          <w:tab w:val="left" w:pos="777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）重大活动保障、突发事件、恶劣天气、扫雪、除冰、除淤等应急处理作业。</w:t>
      </w:r>
      <w:r/>
    </w:p>
    <w:p>
      <w:pPr>
        <w:ind w:firstLine="420"/>
        <w:spacing w:line="360" w:lineRule="auto"/>
        <w:tabs>
          <w:tab w:val="left" w:pos="7770" w:leader="none"/>
        </w:tabs>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（13）河道管护（仁寿社区范围内）</w:t>
      </w:r>
      <w:r/>
    </w:p>
    <w:p>
      <w:pPr>
        <w:ind w:left="210" w:firstLine="210"/>
        <w:jc w:val="left"/>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p>
      <w:pPr>
        <w:ind w:left="210" w:firstLine="211"/>
        <w:jc w:val="left"/>
        <w:spacing w:line="360" w:lineRule="auto"/>
        <w:rPr>
          <w:rFonts w:asci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二、项目作业最低核定人数及车辆最低配置（辆、台）</w:t>
      </w:r>
      <w:r/>
    </w:p>
    <w:tbl>
      <w:tblPr>
        <w:tblStyle w:val="819"/>
        <w:tblW w:w="0" w:type="auto"/>
        <w:jc w:val="center"/>
        <w:tblLayout w:type="fixed"/>
        <w:tblCellMar>
          <w:left w:w="108" w:type="dxa"/>
          <w:top w:w="0" w:type="dxa"/>
          <w:right w:w="108" w:type="dxa"/>
          <w:bottom w:w="0" w:type="dxa"/>
        </w:tblCellMar>
        <w:tblLook w:val="04A0" w:firstRow="1" w:lastRow="0" w:firstColumn="1" w:lastColumn="0" w:noHBand="0" w:noVBand="1"/>
      </w:tblPr>
      <w:tblGrid>
        <w:gridCol w:w="1524"/>
        <w:gridCol w:w="1175"/>
        <w:gridCol w:w="1175"/>
        <w:gridCol w:w="1175"/>
        <w:gridCol w:w="1175"/>
        <w:gridCol w:w="1175"/>
        <w:gridCol w:w="1175"/>
        <w:gridCol w:w="1178"/>
      </w:tblGrid>
      <w:tr>
        <w:trPr>
          <w:jc w:val="center"/>
          <w:trHeight w:val="648"/>
        </w:trPr>
        <w:tc>
          <w:tcPr>
            <w:gridSpan w:val="8"/>
            <w:tcBorders>
              <w:top w:val="single" w:color="000000" w:sz="4" w:space="0"/>
              <w:left w:val="single" w:color="000000" w:sz="4" w:space="0"/>
              <w:bottom w:val="single" w:color="000000" w:sz="4" w:space="0"/>
              <w:right w:val="none" w:color="000000" w:sz="4" w:space="0"/>
            </w:tcBorders>
            <w:tcW w:w="9752"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包1市场化最低核定人数</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包号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管理人员</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保洁人员</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中转站操作工</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驾驶员</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垃圾清运工</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合计</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widowControl/>
              <w:rPr>
                <w:rFonts w:ascii="宋体" w:cs="宋体"/>
                <w:strike/>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包</w:t>
            </w:r>
            <w:r>
              <w:rPr>
                <w:rFonts w:ascii="宋体" w:hAnsi="宋体" w:cs="宋体"/>
                <w:b/>
                <w:bCs/>
                <w:color w:val="000000" w:themeColor="text1"/>
                <w:sz w:val="22"/>
                <w:highlight w:val="none"/>
                <w14:textFill>
                  <w14:solidFill>
                    <w14:schemeClr w14:val="tx1"/>
                  </w14:solidFill>
                </w14:textFill>
              </w:rPr>
              <w:t xml:space="preserve">1</w:t>
            </w:r>
            <w:r>
              <w:rPr>
                <w:rFonts w:hint="eastAsia" w:ascii="宋体" w:hAnsi="宋体" w:cs="宋体"/>
                <w:b/>
                <w:bCs/>
                <w:color w:val="000000" w:themeColor="text1"/>
                <w:sz w:val="22"/>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安大路以西（大桥、中闸、花荡镇区）</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83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ascii="宋体" w:hAnsi="宋体" w:cs="宋体"/>
                <w:b/>
                <w:bCs/>
                <w:color w:val="000000" w:themeColor="text1"/>
                <w:sz w:val="22"/>
                <w:highlight w:val="none"/>
                <w14:textFill>
                  <w14:solidFill>
                    <w14:schemeClr w14:val="tx1"/>
                  </w14:solidFill>
                </w14:textFill>
              </w:rPr>
              <w:t xml:space="preserve"> </w:t>
            </w:r>
            <w:r>
              <w:rPr>
                <w:rFonts w:ascii="宋体" w:hAnsi="宋体" w:cs="宋体"/>
                <w:color w:val="000000" w:themeColor="text1"/>
                <w:sz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 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103 </w:t>
            </w:r>
            <w:r/>
          </w:p>
        </w:tc>
      </w:tr>
    </w:tbl>
    <w:p>
      <w:pP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br w:type="page" w:clear="all"/>
      </w:r>
      <w:r/>
    </w:p>
    <w:p>
      <w:pPr>
        <w:pStyle w:val="8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19"/>
        <w:tblpPr w:horzAnchor="page" w:tblpX="1160" w:vertAnchor="text" w:tblpY="512" w:leftFromText="180" w:topFromText="0" w:rightFromText="180" w:bottomFromText="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324"/>
        <w:gridCol w:w="598"/>
        <w:gridCol w:w="733"/>
        <w:gridCol w:w="839"/>
        <w:gridCol w:w="525"/>
        <w:gridCol w:w="582"/>
        <w:gridCol w:w="688"/>
        <w:gridCol w:w="675"/>
        <w:gridCol w:w="749"/>
        <w:gridCol w:w="570"/>
        <w:gridCol w:w="765"/>
        <w:gridCol w:w="733"/>
        <w:gridCol w:w="969"/>
      </w:tblGrid>
      <w:tr>
        <w:trPr>
          <w:trHeight w:val="277"/>
        </w:trPr>
        <w:tc>
          <w:tcPr>
            <w:gridSpan w:val="13"/>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center"/>
              <w:widowControl/>
              <w:rPr>
                <w:rFonts w:ascii="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包1车辆最低配置（辆、台）</w:t>
            </w:r>
            <w:r/>
          </w:p>
        </w:tc>
      </w:tr>
      <w:tr>
        <w:trPr>
          <w:trHeight w:val="810"/>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包号</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小型高压冲洗车</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洗扫车</w:t>
            </w:r>
            <w:r>
              <w:rPr>
                <w:rFonts w:ascii="宋体" w:hAnsi="宋体" w:cs="宋体"/>
                <w:b/>
                <w:bCs/>
                <w:color w:val="000000" w:themeColor="text1"/>
                <w:sz w:val="22"/>
                <w:highlight w:val="none"/>
                <w14:textFill>
                  <w14:solidFill>
                    <w14:schemeClr w14:val="tx1"/>
                  </w14:solidFill>
                </w14:textFill>
              </w:rPr>
              <w:t xml:space="preserve">18t</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洒水车</w:t>
            </w:r>
            <w:r>
              <w:rPr>
                <w:rFonts w:ascii="宋体" w:hAnsi="宋体" w:cs="宋体"/>
                <w:b/>
                <w:bCs/>
                <w:color w:val="000000" w:themeColor="text1"/>
                <w:sz w:val="22"/>
                <w:highlight w:val="none"/>
                <w14:textFill>
                  <w14:solidFill>
                    <w14:schemeClr w14:val="tx1"/>
                  </w14:solidFill>
                </w14:textFill>
              </w:rPr>
              <w:t xml:space="preserve">18t</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洗扫车</w:t>
            </w:r>
            <w:r>
              <w:rPr>
                <w:rFonts w:ascii="宋体" w:hAnsi="宋体" w:cs="宋体"/>
                <w:b/>
                <w:bCs/>
                <w:color w:val="000000" w:themeColor="text1"/>
                <w:sz w:val="22"/>
                <w:highlight w:val="none"/>
                <w14:textFill>
                  <w14:solidFill>
                    <w14:schemeClr w14:val="tx1"/>
                  </w14:solidFill>
                </w14:textFill>
              </w:rPr>
              <w:t xml:space="preserve">2.5t</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雾泡车</w:t>
            </w:r>
            <w:r>
              <w:rPr>
                <w:rFonts w:ascii="宋体" w:hAnsi="宋体" w:cs="宋体"/>
                <w:b/>
                <w:bCs/>
                <w:color w:val="000000" w:themeColor="text1"/>
                <w:sz w:val="22"/>
                <w:highlight w:val="none"/>
                <w14:textFill>
                  <w14:solidFill>
                    <w14:schemeClr w14:val="tx1"/>
                  </w14:solidFill>
                </w14:textFill>
              </w:rPr>
              <w:t xml:space="preserve">25t</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电动三、四轮侧挂车</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b/>
                <w:bCs/>
                <w:color w:val="000000" w:themeColor="text1"/>
                <w:highlight w:val="none"/>
                <w14:textFill>
                  <w14:solidFill>
                    <w14:schemeClr w14:val="tx1"/>
                  </w14:solidFill>
                </w14:textFill>
              </w:rPr>
              <w:t xml:space="preserve">7</w:t>
            </w:r>
            <w:r>
              <w:rPr>
                <w:rFonts w:hint="eastAsia" w:ascii="MS Gothic" w:hAnsi="MS Gothic" w:eastAsia="MS Gothic" w:cs="MS Gothic"/>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全封闭收集车</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电动三轮保洁车</w:t>
            </w:r>
            <w:r/>
          </w:p>
        </w:tc>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装载机</w:t>
            </w:r>
            <w:r>
              <w:rPr>
                <w:b/>
                <w:bCs/>
                <w:color w:val="000000" w:themeColor="text1"/>
                <w:highlight w:val="none"/>
                <w14:textFill>
                  <w14:solidFill>
                    <w14:schemeClr w14:val="tx1"/>
                  </w14:solidFill>
                </w14:textFill>
              </w:rPr>
              <w:t xml:space="preserve">13</w:t>
            </w:r>
            <w:r>
              <w:rPr>
                <w:rFonts w:ascii="宋体" w:hAnsi="宋体" w:cs="宋体"/>
                <w:b/>
                <w:bCs/>
                <w:color w:val="000000" w:themeColor="text1"/>
                <w:sz w:val="22"/>
                <w:highlight w:val="none"/>
                <w14:textFill>
                  <w14:solidFill>
                    <w14:schemeClr w14:val="tx1"/>
                  </w14:solidFill>
                </w14:textFill>
              </w:rPr>
              <w:t xml:space="preserve">t</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树叶收集车</w:t>
            </w:r>
            <w:r/>
          </w:p>
          <w:p>
            <w:pPr>
              <w:jc w:val="center"/>
              <w:widowControl/>
              <w:rPr>
                <w:rFonts w:ascii="宋体" w:cs="宋体"/>
                <w:b/>
                <w:bCs/>
                <w:color w:val="000000" w:themeColor="text1"/>
                <w:sz w:val="22"/>
                <w:highlight w:val="none"/>
                <w14:textFill>
                  <w14:solidFill>
                    <w14:schemeClr w14:val="tx1"/>
                  </w14:solidFill>
                </w14:textFill>
              </w:rPr>
            </w:pPr>
            <w:r>
              <w:rPr>
                <w:b/>
                <w:bCs/>
                <w:color w:val="000000" w:themeColor="text1"/>
                <w:highlight w:val="none"/>
                <w14:textFill>
                  <w14:solidFill>
                    <w14:schemeClr w14:val="tx1"/>
                  </w14:solidFill>
                </w14:textFill>
              </w:rPr>
              <w:t xml:space="preserve">5</w:t>
            </w:r>
            <w:r>
              <w:rPr>
                <w:rFonts w:ascii="宋体" w:hAnsi="宋体" w:cs="宋体"/>
                <w:b/>
                <w:bCs/>
                <w:color w:val="000000" w:themeColor="text1"/>
                <w:sz w:val="22"/>
                <w:highlight w:val="none"/>
                <w14:textFill>
                  <w14:solidFill>
                    <w14:schemeClr w14:val="tx1"/>
                  </w14:solidFill>
                </w14:textFill>
              </w:rPr>
              <w:t xml:space="preserve">t</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吸污车</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widowControl/>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垃圾桶</w:t>
            </w:r>
            <w:r/>
          </w:p>
          <w:p>
            <w:pPr>
              <w:jc w:val="center"/>
              <w:widowControl/>
              <w:rPr>
                <w:b/>
                <w:bCs/>
                <w:color w:val="000000" w:themeColor="text1"/>
                <w:highlight w:val="none"/>
                <w14:textFill>
                  <w14:solidFill>
                    <w14:schemeClr w14:val="tx1"/>
                  </w14:solidFill>
                </w14:textFill>
              </w:rPr>
            </w:pPr>
            <w:r>
              <w:rPr>
                <w:rFonts w:hint="eastAsia"/>
                <w:color w:val="000000" w:themeColor="text1"/>
                <w:sz w:val="18"/>
                <w:szCs w:val="20"/>
                <w:highlight w:val="none"/>
                <w14:textFill>
                  <w14:solidFill>
                    <w14:schemeClr w14:val="tx1"/>
                  </w14:solidFill>
                </w14:textFill>
              </w:rPr>
              <w:t xml:space="preserve">（</w:t>
            </w:r>
            <w:r>
              <w:rPr>
                <w:color w:val="000000" w:themeColor="text1"/>
                <w:sz w:val="18"/>
                <w:szCs w:val="20"/>
                <w:highlight w:val="none"/>
                <w14:textFill>
                  <w14:solidFill>
                    <w14:schemeClr w14:val="tx1"/>
                  </w14:solidFill>
                </w14:textFill>
              </w:rPr>
              <w:t xml:space="preserve">240L</w:t>
            </w:r>
            <w:r>
              <w:rPr>
                <w:rFonts w:hint="eastAsia"/>
                <w:color w:val="000000" w:themeColor="text1"/>
                <w:sz w:val="18"/>
                <w:szCs w:val="20"/>
                <w:highlight w:val="none"/>
                <w14:textFill>
                  <w14:solidFill>
                    <w14:schemeClr w14:val="tx1"/>
                  </w14:solidFill>
                </w14:textFill>
              </w:rPr>
              <w:t xml:space="preserve">）</w:t>
            </w:r>
            <w:r/>
          </w:p>
        </w:tc>
      </w:tr>
      <w:tr>
        <w:trPr>
          <w:trHeight w:val="277"/>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包</w:t>
            </w:r>
            <w:r>
              <w:rPr>
                <w:rFonts w:ascii="宋体" w:hAnsi="宋体" w:cs="宋体"/>
                <w:b/>
                <w:bCs/>
                <w:color w:val="000000" w:themeColor="text1"/>
                <w:sz w:val="22"/>
                <w:highlight w:val="none"/>
                <w14:textFill>
                  <w14:solidFill>
                    <w14:schemeClr w14:val="tx1"/>
                  </w14:solidFill>
                </w14:textFill>
              </w:rPr>
              <w:t xml:space="preserve">1</w:t>
            </w:r>
            <w:r>
              <w:rPr>
                <w:rFonts w:hint="eastAsia" w:ascii="宋体" w:hAnsi="宋体" w:cs="宋体"/>
                <w:b/>
                <w:bCs/>
                <w:color w:val="000000" w:themeColor="text1"/>
                <w:sz w:val="22"/>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安大路以西（大桥、中闸、花荡镇区）</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asci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widowControl/>
              <w:rPr>
                <w:rFonts w:ascii="等线" w:hAnsi="等线" w:eastAsia="等线" w:cs="等线"/>
                <w:color w:val="000000" w:themeColor="text1"/>
                <w:sz w:val="22"/>
                <w:highlight w:val="none"/>
                <w14:textFill>
                  <w14:solidFill>
                    <w14:schemeClr w14:val="tx1"/>
                  </w14:solidFill>
                </w14:textFill>
              </w:rPr>
            </w:pPr>
            <w:r>
              <w:rPr>
                <w:rFonts w:ascii="等线" w:hAnsi="等线" w:eastAsia="等线" w:cs="等线"/>
                <w:color w:val="000000" w:themeColor="text1"/>
                <w:sz w:val="22"/>
                <w:highlight w:val="none"/>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widowControl/>
              <w:rPr>
                <w:rFonts w:ascii="等线" w:hAnsi="等线" w:eastAsia="等线" w:cs="等线"/>
                <w:color w:val="000000" w:themeColor="text1"/>
                <w:sz w:val="22"/>
                <w:highlight w:val="none"/>
                <w14:textFill>
                  <w14:solidFill>
                    <w14:schemeClr w14:val="tx1"/>
                  </w14:solidFill>
                </w14:textFill>
              </w:rPr>
            </w:pPr>
            <w:r>
              <w:rPr>
                <w:rFonts w:ascii="等线" w:hAnsi="等线" w:eastAsia="等线" w:cs="等线"/>
                <w:color w:val="000000" w:themeColor="text1"/>
                <w:sz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widowControl/>
              <w:rPr>
                <w:rFonts w:ascii="等线" w:hAnsi="等线" w:eastAsia="等线" w:cs="等线"/>
                <w:color w:val="000000" w:themeColor="text1"/>
                <w:sz w:val="22"/>
                <w:highlight w:val="none"/>
                <w14:textFill>
                  <w14:solidFill>
                    <w14:schemeClr w14:val="tx1"/>
                  </w14:solidFill>
                </w14:textFill>
              </w:rPr>
            </w:pPr>
            <w:r>
              <w:rPr>
                <w:rFonts w:ascii="等线" w:hAnsi="等线" w:eastAsia="等线" w:cs="等线"/>
                <w:color w:val="000000" w:themeColor="text1"/>
                <w:sz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等线" w:hAnsi="等线" w:eastAsia="等线" w:cs="等线"/>
                <w:color w:val="000000" w:themeColor="text1"/>
                <w:sz w:val="22"/>
                <w:highlight w:val="none"/>
                <w14:textFill>
                  <w14:solidFill>
                    <w14:schemeClr w14:val="tx1"/>
                  </w14:solidFill>
                </w14:textFill>
              </w:rPr>
            </w:pPr>
            <w:r>
              <w:rPr>
                <w:rFonts w:ascii="等线" w:hAnsi="等线" w:eastAsia="等线" w:cs="等线"/>
                <w:color w:val="000000" w:themeColor="text1"/>
                <w:sz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widowControl/>
              <w:rPr>
                <w:rFonts w:ascii="等线" w:hAnsi="等线" w:eastAsia="等线" w:cs="等线"/>
                <w:color w:val="000000" w:themeColor="text1"/>
                <w:sz w:val="22"/>
                <w:highlight w:val="none"/>
                <w14:textFill>
                  <w14:solidFill>
                    <w14:schemeClr w14:val="tx1"/>
                  </w14:solidFill>
                </w14:textFill>
              </w:rPr>
            </w:pPr>
            <w:r>
              <w:rPr>
                <w:rFonts w:ascii="等线" w:hAnsi="等线" w:eastAsia="等线" w:cs="等线"/>
                <w:color w:val="000000" w:themeColor="text1"/>
                <w:sz w:val="22"/>
                <w:highlight w:val="none"/>
                <w14:textFill>
                  <w14:solidFill>
                    <w14:schemeClr w14:val="tx1"/>
                  </w14:solidFill>
                </w14:textFill>
              </w:rPr>
              <w:t xml:space="preserve">400</w:t>
            </w:r>
            <w:r/>
          </w:p>
        </w:tc>
      </w:tr>
    </w:tbl>
    <w:p>
      <w:pPr>
        <w:ind w:firstLine="422"/>
        <w:spacing w:line="360" w:lineRule="auto"/>
        <w:tabs>
          <w:tab w:val="left" w:pos="7770" w:leader="none"/>
        </w:tabs>
        <w:rPr>
          <w:rFonts w:ascii="宋体" w:cs="宋体"/>
          <w:b/>
          <w:bCs/>
          <w:color w:val="000000" w:themeColor="text1"/>
          <w:szCs w:val="21"/>
          <w:highlight w:val="none"/>
          <w14:textFill>
            <w14:solidFill>
              <w14:schemeClr w14:val="tx1"/>
            </w14:solidFill>
          </w14:textFill>
        </w:rPr>
      </w:pPr>
      <w:r>
        <w:rPr>
          <w:rFonts w:ascii="宋体" w:cs="宋体"/>
          <w:b/>
          <w:bCs/>
          <w:color w:val="000000" w:themeColor="text1"/>
          <w:szCs w:val="21"/>
          <w:highlight w:val="none"/>
          <w14:textFill>
            <w14:solidFill>
              <w14:schemeClr w14:val="tx1"/>
            </w14:solidFill>
          </w14:textFill>
        </w:rPr>
      </w:r>
      <w:r/>
    </w:p>
    <w:p>
      <w:pPr>
        <w:pStyle w:val="876"/>
        <w:ind w:firstLine="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三、包</w:t>
      </w:r>
      <w:r>
        <w:rPr>
          <w:b/>
          <w:bCs/>
          <w:color w:val="000000" w:themeColor="text1"/>
          <w:highlight w:val="none"/>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项目作业要求</w:t>
      </w:r>
      <w:r/>
    </w:p>
    <w:p>
      <w:pPr>
        <w:pStyle w:val="876"/>
        <w:ind w:firstLine="0"/>
        <w:rPr>
          <w:rFonts w:cs="宋体"/>
          <w:b/>
          <w:bCs/>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t xml:space="preserve">1.</w:t>
      </w:r>
      <w:r>
        <w:rPr>
          <w:rFonts w:hint="eastAsia" w:cs="宋体"/>
          <w:b/>
          <w:bCs/>
          <w:color w:val="000000" w:themeColor="text1"/>
          <w:szCs w:val="21"/>
          <w:highlight w:val="none"/>
          <w14:textFill>
            <w14:solidFill>
              <w14:schemeClr w14:val="tx1"/>
            </w14:solidFill>
          </w14:textFill>
        </w:rPr>
        <w:t xml:space="preserve">道路作业要求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）负责服务范围内所有的机动车道、非机动车道、人行道、辅道、背街小巷、绿化带、绿化隔离带、花坛等的清扫和保洁作业。</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）道路清扫保洁需做到“十无”（即无果皮纸屑、无粪便、无积尘、无积水、无烟头、无遗撒物体、无油渍痰迹、无裸露垃圾、无小广告“牛皮癣”、无漏扫漏保）和“五净”</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即路面净、人行道净、道沿净、树坑净、污水口净</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，路面见本色。</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）作业时不扬尘、不漏扫，不得妨碍行人。</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2"/>
        <w:gridCol w:w="1095"/>
        <w:gridCol w:w="3525"/>
        <w:gridCol w:w="1834"/>
      </w:tblGrid>
      <w:tr>
        <w:trPr>
          <w:jc w:val="center"/>
          <w:trHeight w:val="567"/>
        </w:trPr>
        <w:tc>
          <w:tcPr>
            <w:tcW w:w="2292"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类型</w:t>
            </w:r>
            <w:r/>
          </w:p>
        </w:tc>
        <w:tc>
          <w:tcPr>
            <w:tcW w:w="1095"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保洁时间</w:t>
            </w:r>
            <w:r/>
          </w:p>
        </w:tc>
        <w:tc>
          <w:tcPr>
            <w:tcW w:w="3525"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具体作业时间</w:t>
            </w:r>
            <w:r/>
          </w:p>
        </w:tc>
        <w:tc>
          <w:tcPr>
            <w:tcW w:w="1834"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作业方式</w:t>
            </w:r>
            <w:r/>
          </w:p>
        </w:tc>
      </w:tr>
      <w:tr>
        <w:trPr>
          <w:jc w:val="center"/>
          <w:trHeight w:val="567"/>
        </w:trPr>
        <w:tc>
          <w:tcPr>
            <w:tcW w:w="2292" w:type="dxa"/>
            <w:vAlign w:val="center"/>
            <w:vMerge w:val="restart"/>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大桥、中闸、花荡集镇</w:t>
            </w:r>
            <w:r/>
          </w:p>
        </w:tc>
        <w:tc>
          <w:tcPr>
            <w:tcW w:w="1095" w:type="dxa"/>
            <w:vAlign w:val="center"/>
            <w:vMerge w:val="restart"/>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不低于</w:t>
            </w:r>
            <w:r>
              <w:rPr>
                <w:rFonts w:ascii="宋体" w:hAnsi="宋体" w:cs="宋体"/>
                <w:bCs/>
                <w:color w:val="000000" w:themeColor="text1"/>
                <w:szCs w:val="21"/>
                <w:highlight w:val="none"/>
                <w14:textFill>
                  <w14:solidFill>
                    <w14:schemeClr w14:val="tx1"/>
                  </w14:solidFill>
                </w14:textFill>
              </w:rPr>
              <w:t xml:space="preserve">10</w:t>
            </w:r>
            <w:r>
              <w:rPr>
                <w:rFonts w:hint="eastAsia" w:ascii="宋体" w:hAnsi="宋体" w:cs="宋体"/>
                <w:bCs/>
                <w:color w:val="000000" w:themeColor="text1"/>
                <w:szCs w:val="21"/>
                <w:highlight w:val="none"/>
                <w14:textFill>
                  <w14:solidFill>
                    <w14:schemeClr w14:val="tx1"/>
                  </w14:solidFill>
                </w14:textFill>
              </w:rPr>
              <w:t xml:space="preserve">小时</w:t>
            </w:r>
            <w:r/>
          </w:p>
        </w:tc>
        <w:tc>
          <w:tcPr>
            <w:tcW w:w="352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第一次普扫时间在</w:t>
            </w:r>
            <w:r>
              <w:rPr>
                <w:rFonts w:ascii="宋体" w:hAnsi="宋体" w:cs="宋体"/>
                <w:bCs/>
                <w:color w:val="000000" w:themeColor="text1"/>
                <w:szCs w:val="21"/>
                <w:highlight w:val="none"/>
                <w14:textFill>
                  <w14:solidFill>
                    <w14:schemeClr w14:val="tx1"/>
                  </w14:solidFill>
                </w14:textFill>
              </w:rPr>
              <w:t xml:space="preserve">8:00</w:t>
            </w:r>
            <w:r>
              <w:rPr>
                <w:rFonts w:hint="eastAsia" w:ascii="宋体" w:hAnsi="宋体" w:cs="宋体"/>
                <w:bCs/>
                <w:color w:val="000000" w:themeColor="text1"/>
                <w:szCs w:val="21"/>
                <w:highlight w:val="none"/>
                <w14:textFill>
                  <w14:solidFill>
                    <w14:schemeClr w14:val="tx1"/>
                  </w14:solidFill>
                </w14:textFill>
              </w:rPr>
              <w:t xml:space="preserve">前完成</w:t>
            </w:r>
            <w:r/>
          </w:p>
        </w:tc>
        <w:tc>
          <w:tcPr>
            <w:tcW w:w="1834"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全面普扫</w:t>
            </w:r>
            <w:r/>
          </w:p>
        </w:tc>
      </w:tr>
      <w:tr>
        <w:trPr>
          <w:jc w:val="center"/>
          <w:trHeight w:val="567"/>
        </w:trPr>
        <w:tc>
          <w:tcPr>
            <w:tcW w:w="2292" w:type="dxa"/>
            <w:vAlign w:val="center"/>
            <w:vMerge w:val="continue"/>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cs="宋体"/>
                <w:bCs/>
                <w:color w:val="000000" w:themeColor="text1"/>
                <w:szCs w:val="21"/>
                <w:highlight w:val="none"/>
                <w14:textFill>
                  <w14:solidFill>
                    <w14:schemeClr w14:val="tx1"/>
                  </w14:solidFill>
                </w14:textFill>
              </w:rPr>
            </w:r>
            <w:r/>
          </w:p>
        </w:tc>
        <w:tc>
          <w:tcPr>
            <w:tcW w:w="1095" w:type="dxa"/>
            <w:vAlign w:val="center"/>
            <w:vMerge w:val="continue"/>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cs="宋体"/>
                <w:bCs/>
                <w:color w:val="000000" w:themeColor="text1"/>
                <w:szCs w:val="21"/>
                <w:highlight w:val="none"/>
                <w14:textFill>
                  <w14:solidFill>
                    <w14:schemeClr w14:val="tx1"/>
                  </w14:solidFill>
                </w14:textFill>
              </w:rPr>
            </w:r>
            <w:r/>
          </w:p>
        </w:tc>
        <w:tc>
          <w:tcPr>
            <w:tcW w:w="352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8:00—12:00</w:t>
            </w:r>
            <w:r/>
          </w:p>
        </w:tc>
        <w:tc>
          <w:tcPr>
            <w:tcW w:w="1834"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分段巡回保洁</w:t>
            </w:r>
            <w:r/>
          </w:p>
        </w:tc>
      </w:tr>
      <w:tr>
        <w:trPr>
          <w:jc w:val="center"/>
          <w:trHeight w:val="392"/>
        </w:trPr>
        <w:tc>
          <w:tcPr>
            <w:tcW w:w="2292" w:type="dxa"/>
            <w:vAlign w:val="center"/>
            <w:vMerge w:val="continue"/>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cs="宋体"/>
                <w:bCs/>
                <w:color w:val="000000" w:themeColor="text1"/>
                <w:szCs w:val="21"/>
                <w:highlight w:val="none"/>
                <w14:textFill>
                  <w14:solidFill>
                    <w14:schemeClr w14:val="tx1"/>
                  </w14:solidFill>
                </w14:textFill>
              </w:rPr>
            </w:r>
            <w:r/>
          </w:p>
        </w:tc>
        <w:tc>
          <w:tcPr>
            <w:tcW w:w="1095" w:type="dxa"/>
            <w:vAlign w:val="center"/>
            <w:vMerge w:val="continue"/>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cs="宋体"/>
                <w:bCs/>
                <w:color w:val="000000" w:themeColor="text1"/>
                <w:szCs w:val="21"/>
                <w:highlight w:val="none"/>
                <w14:textFill>
                  <w14:solidFill>
                    <w14:schemeClr w14:val="tx1"/>
                  </w14:solidFill>
                </w14:textFill>
              </w:rPr>
            </w:r>
            <w:r/>
          </w:p>
        </w:tc>
        <w:tc>
          <w:tcPr>
            <w:tcW w:w="352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12:00—18:00</w:t>
            </w:r>
            <w:r/>
          </w:p>
        </w:tc>
        <w:tc>
          <w:tcPr>
            <w:tcW w:w="1834"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分段巡回保洁</w:t>
            </w:r>
            <w:r/>
          </w:p>
        </w:tc>
      </w:tr>
      <w:tr>
        <w:trPr>
          <w:cantSplit/>
          <w:jc w:val="center"/>
          <w:trHeight w:val="451"/>
        </w:trPr>
        <w:tc>
          <w:tcPr>
            <w:tcW w:w="2292" w:type="dxa"/>
            <w:vAlign w:val="center"/>
            <w:vMerge w:val="restart"/>
            <w:textDirection w:val="lrTb"/>
            <w:noWrap w:val="false"/>
          </w:tcPr>
          <w:p>
            <w:pPr>
              <w:jc w:val="center"/>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外围主次干道、辅道、背街小巷、村庄道路</w:t>
            </w:r>
            <w:r/>
          </w:p>
        </w:tc>
        <w:tc>
          <w:tcPr>
            <w:tcW w:w="1095" w:type="dxa"/>
            <w:vAlign w:val="center"/>
            <w:vMerge w:val="restart"/>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不低于</w:t>
            </w:r>
            <w:r>
              <w:rPr>
                <w:rFonts w:ascii="宋体" w:hAnsi="宋体" w:cs="宋体"/>
                <w:bCs/>
                <w:color w:val="000000" w:themeColor="text1"/>
                <w:szCs w:val="21"/>
                <w:highlight w:val="none"/>
                <w14:textFill>
                  <w14:solidFill>
                    <w14:schemeClr w14:val="tx1"/>
                  </w14:solidFill>
                </w14:textFill>
              </w:rPr>
              <w:t xml:space="preserve">8</w:t>
            </w:r>
            <w:r>
              <w:rPr>
                <w:rFonts w:hint="eastAsia" w:ascii="宋体" w:hAnsi="宋体" w:cs="宋体"/>
                <w:bCs/>
                <w:color w:val="000000" w:themeColor="text1"/>
                <w:szCs w:val="21"/>
                <w:highlight w:val="none"/>
                <w14:textFill>
                  <w14:solidFill>
                    <w14:schemeClr w14:val="tx1"/>
                  </w14:solidFill>
                </w14:textFill>
              </w:rPr>
              <w:t xml:space="preserve">小时</w:t>
            </w:r>
            <w:r/>
          </w:p>
        </w:tc>
        <w:tc>
          <w:tcPr>
            <w:tcW w:w="3525" w:type="dxa"/>
            <w:vAlign w:val="center"/>
            <w:textDirection w:val="lrTb"/>
            <w:noWrap w:val="false"/>
          </w:tcPr>
          <w:p>
            <w:pPr>
              <w:jc w:val="center"/>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第一次普扫时间在</w:t>
            </w:r>
            <w:r>
              <w:rPr>
                <w:rFonts w:ascii="宋体" w:hAnsi="宋体" w:cs="宋体"/>
                <w:bCs/>
                <w:color w:val="000000" w:themeColor="text1"/>
                <w:szCs w:val="21"/>
                <w:highlight w:val="none"/>
                <w14:textFill>
                  <w14:solidFill>
                    <w14:schemeClr w14:val="tx1"/>
                  </w14:solidFill>
                </w14:textFill>
              </w:rPr>
              <w:t xml:space="preserve">8:00</w:t>
            </w:r>
            <w:r>
              <w:rPr>
                <w:rFonts w:hint="eastAsia" w:ascii="宋体" w:hAnsi="宋体" w:cs="宋体"/>
                <w:bCs/>
                <w:color w:val="000000" w:themeColor="text1"/>
                <w:szCs w:val="21"/>
                <w:highlight w:val="none"/>
                <w14:textFill>
                  <w14:solidFill>
                    <w14:schemeClr w14:val="tx1"/>
                  </w14:solidFill>
                </w14:textFill>
              </w:rPr>
              <w:t xml:space="preserve">前完成</w:t>
            </w:r>
            <w:r/>
          </w:p>
        </w:tc>
        <w:tc>
          <w:tcPr>
            <w:tcW w:w="1834" w:type="dxa"/>
            <w:vAlign w:val="center"/>
            <w:textDirection w:val="lrTb"/>
            <w:noWrap w:val="false"/>
          </w:tcPr>
          <w:p>
            <w:pPr>
              <w:jc w:val="center"/>
              <w:spacing w:line="360" w:lineRule="auto"/>
              <w:tabs>
                <w:tab w:val="left" w:pos="7770" w:leader="none"/>
              </w:tabs>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全面普扫</w:t>
            </w:r>
            <w:r/>
          </w:p>
        </w:tc>
      </w:tr>
      <w:tr>
        <w:trPr>
          <w:cantSplit/>
          <w:jc w:val="center"/>
          <w:trHeight w:val="451"/>
        </w:trPr>
        <w:tc>
          <w:tcPr>
            <w:tcW w:w="2292" w:type="dxa"/>
            <w:vAlign w:val="center"/>
            <w:vMerge w:val="continue"/>
            <w:textDirection w:val="lrTb"/>
            <w:noWrap w:val="false"/>
          </w:tcPr>
          <w:p>
            <w:pPr>
              <w:jc w:val="center"/>
              <w:spacing w:line="360" w:lineRule="auto"/>
              <w:tabs>
                <w:tab w:val="left" w:pos="777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95" w:type="dxa"/>
            <w:vAlign w:val="center"/>
            <w:vMerge w:val="continue"/>
            <w:textDirection w:val="lrTb"/>
            <w:noWrap w:val="false"/>
          </w:tcPr>
          <w:p>
            <w:pPr>
              <w:jc w:val="center"/>
              <w:spacing w:line="360" w:lineRule="auto"/>
              <w:tabs>
                <w:tab w:val="left" w:pos="777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52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8:00—12:00</w:t>
            </w:r>
            <w:r/>
          </w:p>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14:00—18:00</w:t>
            </w:r>
            <w:r/>
          </w:p>
        </w:tc>
        <w:tc>
          <w:tcPr>
            <w:tcW w:w="1834"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分段巡回保洁</w:t>
            </w:r>
            <w:r/>
          </w:p>
        </w:tc>
      </w:tr>
      <w:tr>
        <w:trPr>
          <w:cantSplit/>
          <w:jc w:val="center"/>
          <w:trHeight w:val="912"/>
        </w:trPr>
        <w:tc>
          <w:tcPr>
            <w:tcW w:w="2292"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绿化带、绿化隔离带、花坛</w:t>
            </w:r>
            <w:r>
              <w:rPr>
                <w:rFonts w:hint="eastAsia" w:ascii="宋体" w:hAnsi="宋体" w:cs="宋体"/>
                <w:bCs/>
                <w:color w:val="000000" w:themeColor="text1"/>
                <w:szCs w:val="21"/>
                <w:highlight w:val="none"/>
                <w14:textFill>
                  <w14:solidFill>
                    <w14:schemeClr w14:val="tx1"/>
                  </w14:solidFill>
                </w14:textFill>
              </w:rPr>
              <w:t xml:space="preserve">的生活垃圾清理保洁</w:t>
            </w:r>
            <w:r/>
          </w:p>
        </w:tc>
        <w:tc>
          <w:tcPr>
            <w:tcW w:w="109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w:t>
            </w:r>
            <w:r/>
          </w:p>
        </w:tc>
        <w:tc>
          <w:tcPr>
            <w:tcW w:w="352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和所在道路清扫保洁的时间一致</w:t>
            </w:r>
            <w:r/>
          </w:p>
        </w:tc>
        <w:tc>
          <w:tcPr>
            <w:tcW w:w="1834"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分段巡回保洁</w:t>
            </w:r>
            <w:r/>
          </w:p>
        </w:tc>
      </w:tr>
    </w:tbl>
    <w:p>
      <w:pPr>
        <w:spacing w:line="360" w:lineRule="auto"/>
        <w:tabs>
          <w:tab w:val="left" w:pos="7770" w:leader="none"/>
        </w:tabs>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道路人工清扫、保洁的作业要求</w:t>
      </w:r>
      <w:r>
        <w:rPr>
          <w:rFonts w:ascii="宋体" w:hAnsi="宋体" w:cs="宋体"/>
          <w:b/>
          <w:bCs/>
          <w:color w:val="000000" w:themeColor="text1"/>
          <w:szCs w:val="21"/>
          <w:highlight w:val="none"/>
          <w14:textFill>
            <w14:solidFill>
              <w14:schemeClr w14:val="tx1"/>
            </w14:solidFill>
          </w14:textFill>
        </w:rPr>
        <w:t xml:space="preserve">:</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）道路的清扫保洁标准参照三、四级道路的清扫保洁要求。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）清扫保洁员衣着整齐，穿着反光安全制服作业。</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）所有垃圾收集点每个点位根据实际需要配置垃圾桶，按生活垃圾分类要求摆放。所有背街小巷垃圾不能以任何理由拒收或不收。垃圾密闭收集运输，日产日清，清运率</w:t>
      </w:r>
      <w:r>
        <w:rPr>
          <w:rFonts w:ascii="宋体" w:hAnsi="宋体" w:cs="宋体"/>
          <w:color w:val="000000" w:themeColor="text1"/>
          <w:szCs w:val="21"/>
          <w:highlight w:val="none"/>
          <w14:textFill>
            <w14:solidFill>
              <w14:schemeClr w14:val="tx1"/>
            </w14:solidFill>
          </w14:textFill>
        </w:rPr>
        <w:t xml:space="preserve">100%</w:t>
      </w:r>
      <w:r>
        <w:rPr>
          <w:rFonts w:hint="eastAsia" w:ascii="宋体" w:hAnsi="宋体" w:cs="宋体"/>
          <w:color w:val="000000" w:themeColor="text1"/>
          <w:szCs w:val="21"/>
          <w:highlight w:val="none"/>
          <w14:textFill>
            <w14:solidFill>
              <w14:schemeClr w14:val="tx1"/>
            </w14:solidFill>
          </w14:textFill>
        </w:rPr>
        <w:t xml:space="preserve">。</w:t>
      </w:r>
      <w:r/>
    </w:p>
    <w:p>
      <w:pPr>
        <w:pStyle w:val="876"/>
        <w:ind w:firstLine="420"/>
        <w:rPr>
          <w:rFonts w:cs="宋体"/>
          <w:b/>
          <w:bCs/>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4</w:t>
      </w:r>
      <w:r>
        <w:rPr>
          <w:rFonts w:hint="eastAsia" w:cs="宋体"/>
          <w:color w:val="000000" w:themeColor="text1"/>
          <w:szCs w:val="21"/>
          <w:highlight w:val="none"/>
          <w14:textFill>
            <w14:solidFill>
              <w14:schemeClr w14:val="tx1"/>
            </w14:solidFill>
          </w14:textFill>
        </w:rPr>
        <w:t xml:space="preserve">）街巷路面干净，无果皮纸屑、无塑料袋、无积尘、无漂浮、无杂草等。</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）合理配置环卫清扫保洁作业人员和机械设备，对每个作业路段实行定人定岗。</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）上岗时，保洁人员衣着整齐，穿戴配有反光标志的安全作业服，佩戴工号牌（有条件可佩戴智能手环），电动保洁车作业人员需佩戴安全头盔，不得闯红灯、逆行、违章停车。</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保洁时间内，确保每个作业班次的保洁人员在岗巡回保洁，不得缺员缺岗。上路后将机动车道、辅道、非机动车道、人行道、边沟、树穴等普扫之后沿路段巡回保洁，不得漏点漏段。清扫保洁时要控制扬尘，清扫保洁后的垃圾、尘土要倒入垃圾收集车（桶）内，并盖好车（桶）盖。不得将垃圾、尘土等扫入道路排水口、绿化带和果壳箱内。</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）清扫保洁时做到“六不准”：不准聚众闲谈、脱岗、坐岗、干私活、闲看手机；不准将车辆等工作工具擅作它用。</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）早餐实行轮流用餐制，用餐时间内道路上要求每路段留人保洁。</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）作业时车辆干净整洁，张贴反光标识，不得影响交通，占用盲道。作业后一律就近停放指定地点。</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）雨天作业时穿带配有反光标志的雨具，雨后及时清理路面积水和杂物。</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）落叶季节，及时清扫，部分路段冬季梧桐树落叶需专业车辆收集，日落日清，严禁焚烧。</w:t>
      </w:r>
      <w:r/>
    </w:p>
    <w:p>
      <w:pPr>
        <w:ind w:firstLine="420"/>
        <w:jc w:val="left"/>
        <w:spacing w:line="360" w:lineRule="auto"/>
        <w:tabs>
          <w:tab w:val="left" w:pos="777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）遇到突发性污染情况时，设置醒目的路障和警示牌，人工配合机械及时清洗，恢复路面整洁。</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道路机械化洗扫、洒水、冲洗作业要求：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）路面作业要全覆盖，严禁漏扫、无扫，需于指定区域加水、卸载垃圾。</w:t>
      </w:r>
      <w:r/>
    </w:p>
    <w:p>
      <w:pPr>
        <w:ind w:firstLine="420"/>
        <w:spacing w:line="360" w:lineRule="auto"/>
        <w:tabs>
          <w:tab w:val="left" w:pos="266"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车辆保持整洁，确保车身无破损、锈蚀，车身需张贴反光标志，车牌及车身标志清晰可见。</w:t>
      </w:r>
      <w:r>
        <w:rPr>
          <w:rFonts w:hint="eastAsia" w:ascii="宋体" w:hAnsi="宋体" w:cs="宋体"/>
          <w:color w:val="000000" w:themeColor="text1"/>
          <w:szCs w:val="21"/>
          <w:highlight w:val="none"/>
          <w14:textFill>
            <w14:solidFill>
              <w14:schemeClr w14:val="tx1"/>
            </w14:solidFill>
          </w14:textFill>
        </w:rPr>
        <w:t xml:space="preserve">所有作业车辆牌证齐全，规范管理。</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）所有车辆均安装</w:t>
      </w:r>
      <w:r>
        <w:rPr>
          <w:rFonts w:ascii="宋体" w:hAnsi="宋体" w:cs="宋体"/>
          <w:color w:val="000000" w:themeColor="text1"/>
          <w:szCs w:val="21"/>
          <w:highlight w:val="none"/>
          <w14:textFill>
            <w14:solidFill>
              <w14:schemeClr w14:val="tx1"/>
            </w14:solidFill>
          </w14:textFill>
        </w:rPr>
        <w:t xml:space="preserve">GPS</w:t>
      </w:r>
      <w:r>
        <w:rPr>
          <w:rFonts w:hint="eastAsia" w:ascii="宋体" w:hAnsi="宋体" w:cs="宋体"/>
          <w:color w:val="000000" w:themeColor="text1"/>
          <w:szCs w:val="21"/>
          <w:highlight w:val="none"/>
          <w14:textFill>
            <w14:solidFill>
              <w14:schemeClr w14:val="tx1"/>
            </w14:solidFill>
          </w14:textFill>
        </w:rPr>
        <w:t xml:space="preserve">与行车记录仪。</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各类车辆行驶要求：</w:t>
      </w:r>
      <w:r>
        <w:rPr>
          <w:rFonts w:ascii="宋体" w:hAnsi="宋体" w:cs="宋体"/>
          <w:color w:val="000000" w:themeColor="text1"/>
          <w:highlight w:val="none"/>
          <w14:textFill>
            <w14:solidFill>
              <w14:schemeClr w14:val="tx1"/>
            </w14:solidFill>
          </w14:textFill>
        </w:rPr>
        <w:t xml:space="preserve"> </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①洗扫车洗扫作业时，行驶速度不超过</w:t>
      </w:r>
      <w:r>
        <w:rPr>
          <w:rFonts w:ascii="宋体" w:hAnsi="宋体" w:cs="宋体"/>
          <w:color w:val="000000" w:themeColor="text1"/>
          <w:highlight w:val="none"/>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公里</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小时，严格按照放刷、喷水、调整箱体压力和刷盘转速、洗扫的顺序进行操作；非特殊气候情况下，避免“干扫”；作业时禁止扫刷、吸嘴不落地。</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②洒水车洒水、冲洗作业时，行驶车速不超过</w:t>
      </w:r>
      <w:r>
        <w:rPr>
          <w:rFonts w:ascii="宋体" w:hAnsi="宋体" w:cs="宋体"/>
          <w:color w:val="000000" w:themeColor="text1"/>
          <w:highlight w:val="none"/>
          <w14:textFill>
            <w14:solidFill>
              <w14:schemeClr w14:val="tx1"/>
            </w14:solidFill>
          </w14:textFill>
        </w:rPr>
        <w:t xml:space="preserve">20</w:t>
      </w:r>
      <w:r>
        <w:rPr>
          <w:rFonts w:hint="eastAsia" w:ascii="宋体" w:hAnsi="宋体" w:cs="宋体"/>
          <w:color w:val="000000" w:themeColor="text1"/>
          <w:highlight w:val="none"/>
          <w14:textFill>
            <w14:solidFill>
              <w14:schemeClr w14:val="tx1"/>
            </w14:solidFill>
          </w14:textFill>
        </w:rPr>
        <w:t xml:space="preserve">公里</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小时，喷水口喷水有力，不得出现断续喷水的现象，洒水作业需覆盖道路的所有机动车道，不得漏洒，作业后，路面无干燥路段和片区。遇岔路口、红绿灯、斑马线处，前后</w:t>
      </w:r>
      <w:r>
        <w:rPr>
          <w:rFonts w:ascii="宋体" w:hAnsi="宋体" w:cs="宋体"/>
          <w:color w:val="000000" w:themeColor="text1"/>
          <w:highlight w:val="none"/>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米范围内不进行洒水、冲洗作业。</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小型高压冲洗车冲洗作业时，需根据路面实际情况，重点处理顽固油渍、果壳箱、公交站台、背街小巷、人行道等区域的应急清洁任务。作业过程中需注意周边行人和车辆动态，提前避让，确保通行安全。冲洗时严禁将水枪对准人员、动物和电器设备，操作人员需保持适当距离与合理角度，边移动边冲洗，确保清洗过程连续、均匀、全覆盖。</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④如遇死角、深沟、道路两侧行道树过低过近、垃圾杂物体积过长过大、落叶季节、窨井眼不畅通、有杂物或被堵塞等工况无法满足环卫机械化作业条件时，需组织人工配合作业。</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⑤夜间作业时开启警示灯和示宽灯，夜间禁鸣，洒水作业日间需播放提示音乐。</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⑥作业人员文明驾驶并按照规定的时间、线路、频次和作业模式作业；作业时穿戴统一的、具有明显警示标识的工作服，并保持着装整洁。不得有滞留马路和加油加水超时等情况。</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）机械化作业车辆要求：</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①车体整洁明亮、各种配件齐全、使用功能齐备，各项作业装置保持完好、有效。车身如有宣传标贴，需保持清洁完整。</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②上路作业车辆</w:t>
      </w:r>
      <w:r>
        <w:rPr>
          <w:rFonts w:hint="eastAsia" w:ascii="宋体" w:hAnsi="宋体" w:cs="宋体"/>
          <w:color w:val="000000" w:themeColor="text1"/>
          <w:szCs w:val="21"/>
          <w:highlight w:val="none"/>
          <w14:textFill>
            <w14:solidFill>
              <w14:schemeClr w14:val="tx1"/>
            </w14:solidFill>
          </w14:textFill>
        </w:rPr>
        <w:t xml:space="preserve">牌证齐全，规范管理。</w:t>
      </w:r>
      <w:r>
        <w:rPr>
          <w:rFonts w:hint="eastAsia" w:ascii="宋体" w:hAnsi="宋体" w:cs="宋体"/>
          <w:color w:val="000000" w:themeColor="text1"/>
          <w:highlight w:val="none"/>
          <w14:textFill>
            <w14:solidFill>
              <w14:schemeClr w14:val="tx1"/>
            </w14:solidFill>
          </w14:textFill>
        </w:rPr>
        <w:t xml:space="preserve">需保持车牌及车身标志清晰、齐全，车体无破损、无锈蚀、无污物、无灰垢。车尾需有反光标志（或加贴反光膜）。</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w:t>
      </w:r>
      <w:r>
        <w:rPr>
          <w:rFonts w:hint="eastAsia" w:ascii="宋体" w:hAnsi="宋体" w:cs="宋体"/>
          <w:color w:val="000000" w:themeColor="text1"/>
          <w:szCs w:val="21"/>
          <w:highlight w:val="none"/>
          <w14:textFill>
            <w14:solidFill>
              <w14:schemeClr w14:val="tx1"/>
            </w14:solidFill>
          </w14:textFill>
        </w:rPr>
        <w:t xml:space="preserve">所有车辆均需安装</w:t>
      </w:r>
      <w:r>
        <w:rPr>
          <w:rFonts w:ascii="宋体" w:hAnsi="宋体" w:cs="宋体"/>
          <w:color w:val="000000" w:themeColor="text1"/>
          <w:szCs w:val="21"/>
          <w:highlight w:val="none"/>
          <w14:textFill>
            <w14:solidFill>
              <w14:schemeClr w14:val="tx1"/>
            </w14:solidFill>
          </w14:textFill>
        </w:rPr>
        <w:t xml:space="preserve">GPS</w:t>
      </w:r>
      <w:r>
        <w:rPr>
          <w:rFonts w:hint="eastAsia" w:ascii="宋体" w:hAnsi="宋体" w:cs="宋体"/>
          <w:color w:val="000000" w:themeColor="text1"/>
          <w:szCs w:val="21"/>
          <w:highlight w:val="none"/>
          <w14:textFill>
            <w14:solidFill>
              <w14:schemeClr w14:val="tx1"/>
            </w14:solidFill>
          </w14:textFill>
        </w:rPr>
        <w:t xml:space="preserve">与行车记录仪。</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）调度和管理要求：</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科学合理调配作业车辆分布比例及运行。每班作业需按规定填写出车日志，作业车辆需在规定地点取水、清洁污物箱，机械化作业收集的垃圾倒入指定中转站。车辆作业收集的废弃物按采购人指定的收集点归集，严禁随意倾倒。</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②建立健全车辆维修、保养和检查制度，需确保出车车况良好。</w:t>
      </w:r>
      <w:r/>
    </w:p>
    <w:tbl>
      <w:tblPr>
        <w:tblStyle w:val="819"/>
        <w:tblW w:w="9255" w:type="dxa"/>
        <w:tblInd w:w="3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70"/>
        <w:gridCol w:w="4785"/>
      </w:tblGrid>
      <w:tr>
        <w:trPr/>
        <w:tc>
          <w:tcPr>
            <w:tcW w:w="4470"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作业内容</w:t>
            </w:r>
            <w:r/>
          </w:p>
        </w:tc>
        <w:tc>
          <w:tcPr>
            <w:tcW w:w="4785"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具体作业时间</w:t>
            </w:r>
            <w:r/>
          </w:p>
        </w:tc>
      </w:tr>
      <w:tr>
        <w:trPr/>
        <w:tc>
          <w:tcPr>
            <w:tcW w:w="4470"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道路冲洗作业</w:t>
            </w:r>
            <w:r/>
          </w:p>
        </w:tc>
        <w:tc>
          <w:tcPr>
            <w:tcW w:w="478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高压冲水须在</w:t>
            </w:r>
            <w:r>
              <w:rPr>
                <w:rFonts w:ascii="宋体" w:hAnsi="宋体" w:cs="宋体"/>
                <w:bCs/>
                <w:color w:val="000000" w:themeColor="text1"/>
                <w:szCs w:val="21"/>
                <w:highlight w:val="none"/>
                <w14:textFill>
                  <w14:solidFill>
                    <w14:schemeClr w14:val="tx1"/>
                  </w14:solidFill>
                </w14:textFill>
              </w:rPr>
              <w:t xml:space="preserve">6:00</w:t>
            </w:r>
            <w:r>
              <w:rPr>
                <w:rFonts w:hint="eastAsia" w:ascii="宋体" w:hAnsi="宋体" w:cs="宋体"/>
                <w:bCs/>
                <w:color w:val="000000" w:themeColor="text1"/>
                <w:szCs w:val="21"/>
                <w:highlight w:val="none"/>
                <w14:textFill>
                  <w14:solidFill>
                    <w14:schemeClr w14:val="tx1"/>
                  </w14:solidFill>
                </w14:textFill>
              </w:rPr>
              <w:t xml:space="preserve">前完成（冲洗作业安排在清扫作业之前），其余时间使用洒水作业</w:t>
            </w:r>
            <w:r/>
          </w:p>
        </w:tc>
      </w:tr>
      <w:tr>
        <w:trPr/>
        <w:tc>
          <w:tcPr>
            <w:tcW w:w="4470"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道路洒水降尘作业</w:t>
            </w:r>
            <w:r/>
          </w:p>
        </w:tc>
        <w:tc>
          <w:tcPr>
            <w:tcW w:w="478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 6:30-10:30</w:t>
            </w:r>
            <w:r/>
          </w:p>
          <w:p>
            <w:pPr>
              <w:jc w:val="center"/>
              <w:spacing w:line="360" w:lineRule="auto"/>
              <w:tabs>
                <w:tab w:val="left" w:pos="7770" w:leader="none"/>
              </w:tabs>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14:00-18:00</w:t>
            </w:r>
            <w:r/>
          </w:p>
        </w:tc>
      </w:tr>
      <w:tr>
        <w:trPr/>
        <w:tc>
          <w:tcPr>
            <w:tcW w:w="4470"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人行道清（冲）洗作业</w:t>
            </w:r>
            <w:r/>
          </w:p>
        </w:tc>
        <w:tc>
          <w:tcPr>
            <w:tcW w:w="478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4:30-7:00</w:t>
            </w:r>
            <w:r/>
          </w:p>
          <w:p>
            <w:pPr>
              <w:jc w:val="center"/>
              <w:spacing w:line="360" w:lineRule="auto"/>
              <w:tabs>
                <w:tab w:val="left" w:pos="7770" w:leader="none"/>
              </w:tabs>
              <w:rPr>
                <w:rFonts w:ascii="Arial" w:hAnsi="Arial"/>
                <w:color w:val="000000" w:themeColor="text1"/>
                <w:szCs w:val="24"/>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15:00-17:00</w:t>
            </w:r>
            <w:r/>
          </w:p>
        </w:tc>
      </w:tr>
      <w:tr>
        <w:trPr/>
        <w:tc>
          <w:tcPr>
            <w:tcW w:w="4470"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道路洗扫作业</w:t>
            </w:r>
            <w:r/>
          </w:p>
        </w:tc>
        <w:tc>
          <w:tcPr>
            <w:tcW w:w="478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5:00-9:00</w:t>
            </w:r>
            <w:r/>
          </w:p>
          <w:p>
            <w:pPr>
              <w:jc w:val="center"/>
              <w:spacing w:line="360" w:lineRule="auto"/>
              <w:tabs>
                <w:tab w:val="left" w:pos="7770" w:leader="none"/>
              </w:tabs>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14:00-18:00</w:t>
            </w:r>
            <w:r/>
          </w:p>
        </w:tc>
      </w:tr>
    </w:tbl>
    <w:p>
      <w:pPr>
        <w:pStyle w:val="876"/>
        <w:ind w:firstLine="0"/>
        <w:rPr>
          <w:rFonts w:cs="宋体"/>
          <w:color w:val="000000" w:themeColor="text1"/>
          <w:szCs w:val="21"/>
          <w:highlight w:val="none"/>
          <w14:textFill>
            <w14:solidFill>
              <w14:schemeClr w14:val="tx1"/>
            </w14:solidFill>
          </w14:textFill>
        </w:rPr>
      </w:pPr>
      <w:r>
        <w:rPr>
          <w:rFonts w:cs="宋体"/>
          <w:color w:val="000000" w:themeColor="text1"/>
          <w:szCs w:val="21"/>
          <w:highlight w:val="none"/>
          <w14:textFill>
            <w14:solidFill>
              <w14:schemeClr w14:val="tx1"/>
            </w14:solidFill>
          </w14:textFill>
        </w:rPr>
      </w:r>
      <w:r/>
    </w:p>
    <w:p>
      <w:pPr>
        <w:pStyle w:val="876"/>
        <w:ind w:firstLine="0"/>
        <w:rPr>
          <w:rFonts w:cs="宋体"/>
          <w:b/>
          <w:bCs/>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t xml:space="preserve">4.</w:t>
      </w:r>
      <w:r>
        <w:rPr>
          <w:rFonts w:hint="eastAsia" w:cs="宋体"/>
          <w:b/>
          <w:bCs/>
          <w:color w:val="000000" w:themeColor="text1"/>
          <w:szCs w:val="21"/>
          <w:highlight w:val="none"/>
          <w14:textFill>
            <w14:solidFill>
              <w14:schemeClr w14:val="tx1"/>
            </w14:solidFill>
          </w14:textFill>
        </w:rPr>
        <w:t xml:space="preserve">垃圾的收集和清运的作业要求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）生活垃圾全部实行容器收集，按照《生活垃圾分类标志》、《城市生活垃圾分类及其评价标准》的要求，全面推广开展分类收集。</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）垃圾杂物要及时清运，日产日清，不得发生堆积、焚烧现象，禁止造成垃圾二次污染。</w:t>
      </w:r>
      <w:r/>
    </w:p>
    <w:p>
      <w:pPr>
        <w:pStyle w:val="900"/>
        <w:ind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w:t>
      </w:r>
      <w:r>
        <w:rPr>
          <w:rFonts w:hAnsi="宋体" w:cs="宋体"/>
          <w:color w:val="000000" w:themeColor="text1"/>
          <w:sz w:val="21"/>
          <w:szCs w:val="21"/>
          <w:highlight w:val="none"/>
          <w14:textFill>
            <w14:solidFill>
              <w14:schemeClr w14:val="tx1"/>
            </w14:solidFill>
          </w14:textFill>
        </w:rPr>
        <w:t xml:space="preserve">3</w:t>
      </w:r>
      <w:r>
        <w:rPr>
          <w:rFonts w:hint="eastAsia" w:hAnsi="宋体" w:cs="宋体"/>
          <w:color w:val="000000" w:themeColor="text1"/>
          <w:sz w:val="21"/>
          <w:szCs w:val="21"/>
          <w:highlight w:val="none"/>
          <w14:textFill>
            <w14:solidFill>
              <w14:schemeClr w14:val="tx1"/>
            </w14:solidFill>
          </w14:textFill>
        </w:rPr>
        <w:t xml:space="preserve">）收集容器周边的农作物、建筑垃圾等，日产日清，不得发生堆积现象。</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）重点路段、人流量密集的点位每天垃圾巡回收运。</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）电动三四轮车收集垃圾过程中需避免抛洒滴漏，易碎有害垃圾需单独防护，防止污染扩散。禁止逆行、抢</w:t>
      </w:r>
      <w:r>
        <w:rPr>
          <w:rFonts w:hint="eastAsia" w:ascii="宋体" w:hAnsi="宋体" w:cs="宋体"/>
          <w:color w:val="000000" w:themeColor="text1"/>
          <w:szCs w:val="21"/>
          <w:highlight w:val="none"/>
          <w14:textFill>
            <w14:solidFill>
              <w14:schemeClr w14:val="tx1"/>
            </w14:solidFill>
          </w14:textFill>
        </w:rPr>
        <w:t xml:space="preserve">道、急转弯或双手离把驾驶，车辆需靠右顺行停放于辅道或人行道，不得妨碍交通，临时停放需关闭电源并拉紧手刹。按照规定的时间和路线收集区域内各个垃圾点位。提前通过广播、喇叭等方式提醒居民准备好垃圾；到达收集点后，礼貌地与居民沟通，引导居民正确分类投放垃圾。对于分类不准确的，需耐心指导纠正；轻拿轻放垃圾容器，避免损坏，收集完成后将容器放回原位，并保持周边环境整洁。运输过程中控制车速，避免急刹车、急转弯，防止垃圾因颠簸而散落；根据垃圾量和运输距离，合理规划运输路线，及时将垃圾运送至中转站。倾倒完成后，对车辆进行清理。</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7m</w:t>
      </w:r>
      <w:r>
        <w:rPr>
          <w:rFonts w:hint="eastAsia" w:ascii="宋体" w:hAnsi="宋体" w:cs="宋体"/>
          <w:color w:val="000000" w:themeColor="text1"/>
          <w:szCs w:val="21"/>
          <w:highlight w:val="none"/>
          <w14:textFill>
            <w14:solidFill>
              <w14:schemeClr w14:val="tx1"/>
            </w14:solidFill>
          </w14:textFill>
        </w:rPr>
        <w:t xml:space="preserve">³全密闭垃圾收集车收集垃圾过程中无垃圾遗撒或渗漏，严禁混装混运，人工辅助或机械臂上料，轻放轻卸，防止垃圾桶破损，及时清理散落垃圾、污渍，避免安全隐患。</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）电动三四轮车作业人员需衣着整齐，穿戴配有反光标志的安全作业服，佩戴工号牌、安全头盔，不得闯红灯、逆行、违章停车。</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）所有车辆在清运作业时，需严格遵守道路交通安全法规，保持安全车距，主动礼让行人及其他车辆，杜绝抢行、超速等违规行为。</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）电动三四轮车每日作业后需对驾驶室仪表盘、方向盘、车身外立面、轮胎及底盘进行高压水枪冲洗和人工擦拭，确保无垃圾残留或污水滴漏。</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7m</w:t>
      </w:r>
      <w:r>
        <w:rPr>
          <w:rFonts w:hint="eastAsia" w:ascii="宋体" w:hAnsi="宋体" w:cs="宋体"/>
          <w:color w:val="000000" w:themeColor="text1"/>
          <w:szCs w:val="21"/>
          <w:highlight w:val="none"/>
          <w14:textFill>
            <w14:solidFill>
              <w14:schemeClr w14:val="tx1"/>
            </w14:solidFill>
          </w14:textFill>
        </w:rPr>
        <w:t xml:space="preserve">³全密闭垃圾收集车每日作业后使用</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低压水枪</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冲洗车身外表面、轮胎及底盘，重点清除尘土、油污与垃圾残留，对车厢密封门、防撞护栏等易污染部位进行人工擦拭，确保无污渍或垃圾液渗漏，冲洗车厢内部残留物，使用专用洗车剂溶解顽固污渍，重点清理推板、液压缸等机械部件粘连物。</w:t>
      </w:r>
      <w:r/>
    </w:p>
    <w:p>
      <w:pPr>
        <w:pStyle w:val="876"/>
        <w:ind w:firstLine="0"/>
        <w:rPr>
          <w:rFonts w:cs="宋体"/>
          <w:b/>
          <w:bCs/>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t xml:space="preserve">5.</w:t>
      </w:r>
      <w:r>
        <w:rPr>
          <w:rFonts w:hint="eastAsia" w:cs="宋体"/>
          <w:b/>
          <w:bCs/>
          <w:color w:val="000000" w:themeColor="text1"/>
          <w:szCs w:val="21"/>
          <w:highlight w:val="none"/>
          <w14:textFill>
            <w14:solidFill>
              <w14:schemeClr w14:val="tx1"/>
            </w14:solidFill>
          </w14:textFill>
        </w:rPr>
        <w:t xml:space="preserve">果壳箱、垃圾收集容器、标识牌保洁维护管理的作业要求</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）公共区域内的生活垃圾收集容器、设施等要有专人管理、规范设置、标识清晰，有遗失、缺损时及时修复、出新、更换，首次区域内所有</w:t>
      </w:r>
      <w:bookmarkStart w:id="36" w:name="OLE_LINK2"/>
      <w:r>
        <w:rPr>
          <w:rFonts w:ascii="宋体" w:hAnsi="宋体" w:cs="宋体"/>
          <w:color w:val="000000" w:themeColor="text1"/>
          <w:szCs w:val="21"/>
          <w:highlight w:val="none"/>
          <w14:textFill>
            <w14:solidFill>
              <w14:schemeClr w14:val="tx1"/>
            </w14:solidFill>
          </w14:textFill>
        </w:rPr>
        <w:t xml:space="preserve">240L</w:t>
      </w:r>
      <w:r>
        <w:rPr>
          <w:rFonts w:hint="eastAsia" w:ascii="宋体" w:hAnsi="宋体" w:cs="宋体"/>
          <w:color w:val="000000" w:themeColor="text1"/>
          <w:szCs w:val="21"/>
          <w:highlight w:val="none"/>
          <w14:textFill>
            <w14:solidFill>
              <w14:schemeClr w14:val="tx1"/>
            </w14:solidFill>
          </w14:textFill>
        </w:rPr>
        <w:t xml:space="preserve">垃圾桶全部换新（质量标准需经采购人确认验收</w:t>
      </w:r>
      <w:bookmarkEnd w:id="36"/>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）生活垃圾收集容器每日擦拭，每周进行清洗。</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）生活垃圾分类收集容器、设施内垃圾不满溢，表面整洁无污物、无痰迹、无尘土、无小广告，</w:t>
      </w:r>
      <w:r>
        <w:rPr>
          <w:rFonts w:hint="eastAsia" w:ascii="宋体" w:hAnsi="宋体" w:cs="宋体"/>
          <w:bCs/>
          <w:color w:val="000000" w:themeColor="text1"/>
          <w:szCs w:val="21"/>
          <w:highlight w:val="none"/>
          <w14:textFill>
            <w14:solidFill>
              <w14:schemeClr w14:val="tx1"/>
            </w14:solidFill>
          </w14:textFill>
        </w:rPr>
        <w:t xml:space="preserve">标识牌无污迹。</w:t>
      </w:r>
      <w:r/>
    </w:p>
    <w:p>
      <w:pPr>
        <w:jc w:val="left"/>
        <w:spacing w:line="360" w:lineRule="auto"/>
        <w:tabs>
          <w:tab w:val="left" w:pos="7770" w:leader="none"/>
        </w:tabs>
        <w:rPr>
          <w:rFonts w:ascii="宋体" w:cs="宋体"/>
          <w:b/>
          <w:bCs/>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道路两侧绿化带、隔离带内的漂浮物清理保洁的作业要求</w:t>
      </w:r>
      <w:r>
        <w:rPr>
          <w:rFonts w:ascii="宋体" w:hAnsi="宋体" w:cs="宋体"/>
          <w:b/>
          <w:bCs/>
          <w:color w:val="000000" w:themeColor="text1"/>
          <w:szCs w:val="21"/>
          <w:highlight w:val="none"/>
          <w14:textFill>
            <w14:solidFill>
              <w14:schemeClr w14:val="tx1"/>
            </w14:solidFill>
          </w14:textFill>
        </w:rPr>
        <w:t xml:space="preserve">:</w:t>
      </w:r>
      <w:r/>
    </w:p>
    <w:p>
      <w:pPr>
        <w:ind w:firstLine="420"/>
        <w:jc w:val="left"/>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及时清除绿化带、隔离带内的纸屑、烟蒂、砖块、果壳、塑料袋、瓶罐、粪便、动物尸体、自然凋谢的枯枝残叶等垃圾和杂物，保持绿化带、绿化隔离带等干净整洁。做到花卉、苗木上无垃圾悬挂，花卉苗木丛中无漂浮物夹藏。</w:t>
      </w:r>
      <w:r/>
    </w:p>
    <w:p>
      <w:pPr>
        <w:pStyle w:val="876"/>
        <w:ind w:firstLine="420"/>
        <w:rPr>
          <w:rFonts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清理出的垃圾及时归集，统一运送到指定地点，不得随意堆放。</w:t>
      </w:r>
      <w:r/>
    </w:p>
    <w:p>
      <w:pPr>
        <w:spacing w:line="360" w:lineRule="auto"/>
        <w:rPr>
          <w:rFonts w:ascii="宋体" w:cs="宋体"/>
          <w:b/>
          <w:bCs/>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大气污染防治、洒水降尘</w:t>
      </w:r>
      <w:r/>
    </w:p>
    <w:p>
      <w:pPr>
        <w:ind w:firstLine="565"/>
        <w:spacing w:line="360" w:lineRule="auto"/>
        <w:rPr>
          <w:rFonts w:asci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7.1</w:t>
      </w:r>
      <w:r>
        <w:rPr>
          <w:rFonts w:hint="eastAsia" w:ascii="宋体" w:hAnsi="宋体"/>
          <w:b/>
          <w:bCs/>
          <w:color w:val="000000" w:themeColor="text1"/>
          <w:highlight w:val="none"/>
          <w14:textFill>
            <w14:solidFill>
              <w14:schemeClr w14:val="tx1"/>
            </w14:solidFill>
          </w14:textFill>
        </w:rPr>
        <w:t xml:space="preserve">洒水作业</w:t>
      </w:r>
      <w:r/>
    </w:p>
    <w:p>
      <w:pPr>
        <w:ind w:firstLine="420"/>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洒水作业时段。正常天气作业时间为</w:t>
      </w: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w:t>
      </w:r>
      <w:r>
        <w:rPr>
          <w:rFonts w:ascii="宋体" w:cs="宋体"/>
          <w:color w:val="000000" w:themeColor="text1"/>
          <w:highlight w:val="none"/>
          <w14:textFill>
            <w14:solidFill>
              <w14:schemeClr w14:val="tx1"/>
            </w14:solidFill>
          </w14:textFill>
        </w:rPr>
        <w:t xml:space="preserve">00</w:t>
      </w:r>
      <w:r>
        <w:rPr>
          <w:rFonts w:hint="eastAsia" w:ascii="宋体" w:hAnsi="宋体" w:cs="宋体"/>
          <w:color w:val="000000" w:themeColor="text1"/>
          <w:highlight w:val="none"/>
          <w14:textFill>
            <w14:solidFill>
              <w14:schemeClr w14:val="tx1"/>
            </w14:solidFill>
          </w14:textFill>
        </w:rPr>
        <w:t xml:space="preserve">时</w:t>
      </w:r>
      <w:r>
        <w:rPr>
          <w:rFonts w:ascii="宋体" w:hAnsi="宋体" w:cs="宋体"/>
          <w:color w:val="000000" w:themeColor="text1"/>
          <w:highlight w:val="none"/>
          <w14:textFill>
            <w14:solidFill>
              <w14:schemeClr w14:val="tx1"/>
            </w14:solidFill>
          </w14:textFill>
        </w:rPr>
        <w:t xml:space="preserve">- 18:00</w:t>
      </w:r>
      <w:r>
        <w:rPr>
          <w:rFonts w:hint="eastAsia" w:ascii="宋体" w:hAnsi="宋体" w:cs="宋体"/>
          <w:color w:val="000000" w:themeColor="text1"/>
          <w:highlight w:val="none"/>
          <w14:textFill>
            <w14:solidFill>
              <w14:schemeClr w14:val="tx1"/>
            </w14:solidFill>
          </w14:textFill>
        </w:rPr>
        <w:t xml:space="preserve">时，空气污染预警天气作业时间根据大气办的要求实时调整。（原则上气温在</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°以下、中雨和雪天暂停洒水雾炮作业）；</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工作要求。除雨天外</w:t>
      </w:r>
      <w:r>
        <w:rPr>
          <w:rFonts w:asci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主干道区域巡回洒水降尘巡回作业。</w:t>
      </w:r>
      <w:r/>
    </w:p>
    <w:p>
      <w:pPr>
        <w:ind w:firstLine="565"/>
        <w:spacing w:line="360" w:lineRule="auto"/>
        <w:rPr>
          <w:rFonts w:asci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7.2</w:t>
      </w:r>
      <w:r>
        <w:rPr>
          <w:rFonts w:hint="eastAsia" w:ascii="宋体" w:hAnsi="宋体"/>
          <w:b/>
          <w:bCs/>
          <w:color w:val="000000" w:themeColor="text1"/>
          <w:highlight w:val="none"/>
          <w14:textFill>
            <w14:solidFill>
              <w14:schemeClr w14:val="tx1"/>
            </w14:solidFill>
          </w14:textFill>
        </w:rPr>
        <w:t xml:space="preserve">洗扫作业</w:t>
      </w:r>
      <w:r/>
    </w:p>
    <w:p>
      <w:pPr>
        <w:ind w:firstLine="420"/>
        <w:spacing w:line="360" w:lineRule="auto"/>
        <w:rPr>
          <w:rFonts w:ascii="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洗扫作业时，行驶速度不超过</w:t>
      </w:r>
      <w:r>
        <w:rPr>
          <w:rFonts w:ascii="宋体" w:hAnsi="宋体"/>
          <w:color w:val="000000" w:themeColor="text1"/>
          <w:highlight w:val="none"/>
          <w14:textFill>
            <w14:solidFill>
              <w14:schemeClr w14:val="tx1"/>
            </w14:solidFill>
          </w14:textFill>
        </w:rPr>
        <w:t xml:space="preserve">10</w:t>
      </w:r>
      <w:r>
        <w:rPr>
          <w:rFonts w:hint="eastAsia" w:ascii="宋体" w:hAnsi="宋体"/>
          <w:color w:val="000000" w:themeColor="text1"/>
          <w:highlight w:val="none"/>
          <w14:textFill>
            <w14:solidFill>
              <w14:schemeClr w14:val="tx1"/>
            </w14:solidFill>
          </w14:textFill>
        </w:rPr>
        <w:t xml:space="preserve">公里</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小时，每天道路洗扫至少</w:t>
      </w: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次。道路机械化洗扫保洁标准要求机械设备配置齐全，满足扬尘治理需要。作业车辆安装</w:t>
      </w:r>
      <w:r>
        <w:rPr>
          <w:rFonts w:ascii="宋体" w:hAnsi="宋体"/>
          <w:color w:val="000000" w:themeColor="text1"/>
          <w:highlight w:val="none"/>
          <w14:textFill>
            <w14:solidFill>
              <w14:schemeClr w14:val="tx1"/>
            </w14:solidFill>
          </w14:textFill>
        </w:rPr>
        <w:t xml:space="preserve">GPS</w:t>
      </w:r>
      <w:r>
        <w:rPr>
          <w:rFonts w:hint="eastAsia" w:ascii="宋体" w:hAnsi="宋体"/>
          <w:color w:val="000000" w:themeColor="text1"/>
          <w:highlight w:val="none"/>
          <w14:textFill>
            <w14:solidFill>
              <w14:schemeClr w14:val="tx1"/>
            </w14:solidFill>
          </w14:textFill>
        </w:rPr>
        <w:t xml:space="preserve">与行车记录仪，实时监控。</w:t>
      </w:r>
      <w:r/>
    </w:p>
    <w:p>
      <w:pPr>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8.</w:t>
      </w:r>
      <w:r>
        <w:rPr>
          <w:rFonts w:hint="eastAsia"/>
          <w:b/>
          <w:bCs/>
          <w:color w:val="000000" w:themeColor="text1"/>
          <w:highlight w:val="none"/>
          <w14:textFill>
            <w14:solidFill>
              <w14:schemeClr w14:val="tx1"/>
            </w14:solidFill>
          </w14:textFill>
        </w:rPr>
        <w:t xml:space="preserve">垃圾中转站的日常运转维护和管理的作业要求</w:t>
      </w:r>
      <w:r/>
    </w:p>
    <w:p>
      <w:pPr>
        <w:ind w:firstLine="565"/>
        <w:spacing w:line="360" w:lineRule="auto"/>
        <w:rPr>
          <w:rFonts w:asci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8.1</w:t>
      </w:r>
      <w:r>
        <w:rPr>
          <w:rFonts w:hint="eastAsia" w:ascii="宋体" w:hAnsi="宋体"/>
          <w:b/>
          <w:bCs/>
          <w:color w:val="000000" w:themeColor="text1"/>
          <w:highlight w:val="none"/>
          <w14:textFill>
            <w14:solidFill>
              <w14:schemeClr w14:val="tx1"/>
            </w14:solidFill>
          </w14:textFill>
        </w:rPr>
        <w:t xml:space="preserve">中转站清洁标准</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、确保站内、外干净整洁，中转站内及时冲洗，不得出现散落垃圾和污渍，如在操作中出现散落垃圾需在</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分钟内予以清理。中转站箱体每天清洗，出中转站时干净整洁；场内环卫容器的清洗，内外干净、无油污；负责中转站外门前</w:t>
      </w:r>
      <w:r>
        <w:rPr>
          <w:rFonts w:ascii="宋体" w:hAnsi="宋体" w:cs="宋体"/>
          <w:color w:val="000000" w:themeColor="text1"/>
          <w:highlight w:val="none"/>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米范围内的清扫、保洁及小广告清理；中转站需做到“五无六净”的要求，即：无散落垃圾、无积水、无虫卵、无蛛网、无异味，排水沟净、墙面净、地面净、窗户净、天花板净、设备表面净；</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（1）中转站内外无乱张贴、刻画，无杂物堆放，工具摆放整齐。</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（2）每日对站内消杀不低于</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次。</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（3）作业过程中若发现设施损坏、故障等，及时维修。</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（4）作业时需注意自身安全，保证生产岗位的正常作业。</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、做好安全生产，包括人防、技防、物防，杜绝一切安全事故的发生；</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、文明作业，杜绝扰民现象的发生；</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、做好各中转站内厕所保洁、管理和维护；</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、垃圾运输车外无垃圾粘附物，垃圾车停用时需保持整洁。</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、垃圾中转站的垃圾需做到日积日清。</w:t>
      </w:r>
      <w:r/>
    </w:p>
    <w:p>
      <w:pPr>
        <w:ind w:firstLine="565"/>
        <w:spacing w:line="360" w:lineRule="auto"/>
        <w:rPr>
          <w:rFonts w:asci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8.2</w:t>
      </w:r>
      <w:r>
        <w:rPr>
          <w:rFonts w:hint="eastAsia" w:ascii="宋体" w:hAnsi="宋体"/>
          <w:b/>
          <w:bCs/>
          <w:color w:val="000000" w:themeColor="text1"/>
          <w:highlight w:val="none"/>
          <w14:textFill>
            <w14:solidFill>
              <w14:schemeClr w14:val="tx1"/>
            </w14:solidFill>
          </w14:textFill>
        </w:rPr>
        <w:t xml:space="preserve">中转站作业时间</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中转站作业时间为</w:t>
      </w:r>
      <w:r>
        <w:rPr>
          <w:rFonts w:ascii="宋体" w:hAnsi="宋体" w:cs="宋体"/>
          <w:color w:val="000000" w:themeColor="text1"/>
          <w:highlight w:val="none"/>
          <w14:textFill>
            <w14:solidFill>
              <w14:schemeClr w14:val="tx1"/>
            </w14:solidFill>
          </w14:textFill>
        </w:rPr>
        <w:t xml:space="preserve">5:00</w:t>
      </w:r>
      <w:r>
        <w:rPr>
          <w:rFonts w:hint="eastAsia" w:ascii="宋体" w:hAnsi="宋体" w:cs="宋体"/>
          <w:color w:val="000000" w:themeColor="text1"/>
          <w:highlight w:val="none"/>
          <w14:textFill>
            <w14:solidFill>
              <w14:schemeClr w14:val="tx1"/>
            </w14:solidFill>
          </w14:textFill>
        </w:rPr>
        <w:t xml:space="preserve">至</w:t>
      </w:r>
      <w:r>
        <w:rPr>
          <w:rFonts w:ascii="宋体" w:hAnsi="宋体" w:cs="宋体"/>
          <w:color w:val="000000" w:themeColor="text1"/>
          <w:highlight w:val="none"/>
          <w14:textFill>
            <w14:solidFill>
              <w14:schemeClr w14:val="tx1"/>
            </w14:solidFill>
          </w14:textFill>
        </w:rPr>
        <w:t xml:space="preserve">18:00</w:t>
      </w:r>
      <w:r>
        <w:rPr>
          <w:rFonts w:hint="eastAsia" w:ascii="宋体" w:hAnsi="宋体" w:cs="宋体"/>
          <w:color w:val="000000" w:themeColor="text1"/>
          <w:highlight w:val="none"/>
          <w14:textFill>
            <w14:solidFill>
              <w14:schemeClr w14:val="tx1"/>
            </w14:solidFill>
          </w14:textFill>
        </w:rPr>
        <w:t xml:space="preserve">，有夜间清运垃圾的需增加夜班，如遇重大活动保障或其他特殊情况需临时开放的，中标供应商需无条件服从，具体按采购方要求执行。期间不间断保洁，确保无异味。</w:t>
      </w:r>
      <w:r/>
    </w:p>
    <w:p>
      <w:pPr>
        <w:ind w:firstLine="565"/>
        <w:spacing w:line="360" w:lineRule="auto"/>
        <w:rPr>
          <w:rFonts w:asci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8.3</w:t>
      </w:r>
      <w:r>
        <w:rPr>
          <w:rFonts w:hint="eastAsia" w:ascii="宋体" w:hAnsi="宋体"/>
          <w:b/>
          <w:bCs/>
          <w:color w:val="000000" w:themeColor="text1"/>
          <w:highlight w:val="none"/>
          <w14:textFill>
            <w14:solidFill>
              <w14:schemeClr w14:val="tx1"/>
            </w14:solidFill>
          </w14:textFill>
        </w:rPr>
        <w:t xml:space="preserve">中转站管理要求</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作业人员严禁在中转站内外堆放废品。</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工作结束后搞好室内外环境卫生，切断电源，关闭水龙头，关锁好门窗。</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对进出中转站的运输车辆进行统一指挥管理，保持站内停车有序、整齐、规范。</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未经申报允许的车辆、装运非本区域垃圾的车辆和垃圾不分类收集的车辆不得进入中转站。</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未经允许中转站不得使用大功率电器和私拉电线。</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安排专人做好垃圾中转站的日常运行台账记录和月度报表，包括每日进出站垃圾车辆信息和垃圾量、每日消毒情况、压缩设备的日常维保情况等，每月定期上报采购方。</w:t>
      </w:r>
      <w:r/>
    </w:p>
    <w:p>
      <w:pPr>
        <w:ind w:firstLine="422"/>
        <w:spacing w:line="360" w:lineRule="auto"/>
        <w:rPr>
          <w:rFonts w:ascii="宋体" w:cs="宋体"/>
          <w:b/>
          <w:bCs/>
          <w:color w:val="000000" w:themeColor="text1"/>
          <w:szCs w:val="21"/>
          <w:highlight w:val="none"/>
          <w14:textFill>
            <w14:solidFill>
              <w14:schemeClr w14:val="tx1"/>
            </w14:solidFill>
          </w14:textFill>
        </w:rPr>
        <w:outlineLvl w:val="2"/>
      </w:pPr>
      <w:r>
        <w:rPr>
          <w:rFonts w:ascii="宋体" w:hAnsi="宋体" w:cs="宋体"/>
          <w:b/>
          <w:bCs/>
          <w:color w:val="000000" w:themeColor="text1"/>
          <w:szCs w:val="21"/>
          <w:highlight w:val="none"/>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公厕保洁服务</w:t>
      </w:r>
      <w:r>
        <w:rPr>
          <w:rFonts w:hint="eastAsia" w:ascii="宋体" w:hAnsi="宋体" w:cs="宋体"/>
          <w:b/>
          <w:bCs/>
          <w:color w:val="000000" w:themeColor="text1"/>
          <w:szCs w:val="21"/>
          <w:highlight w:val="none"/>
          <w14:textFill>
            <w14:solidFill>
              <w14:schemeClr w14:val="tx1"/>
            </w14:solidFill>
          </w14:textFill>
        </w:rPr>
        <w:t xml:space="preserve">作业要求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）中标供应商在服务期间需确保公厕设施完好无损，若出现损坏及时修复，由此产生的费用由中标供应商负责承担。公共厕所的管理符合《公共厕所卫生规范》的要求。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）负责服务范围内公厕的清扫、清洗、保洁、除臭、化粪池清理和清运，除“四害”以及厕内所有相关设施设备的维修维护管理保养工作，粪便需按规定进行无害化处理。公厕实行</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小时巡回保洁。厕内设施齐全、完整，无损坏，做到“三通”（通水、通电、排污管道畅通）。</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公厕内地面保持整洁，粪槽、便槽（斗）和管道无破损，内外墙无剥落；有防蝇、防蚊和除臭设施或措施；有经过培训的专人管理，有保洁制度；公厕内采光、照明和通风良好，无明显臭味；环境卫生良好，座便器、蹲位整洁，管道畅通；照明灯具、洗手器具等设施完好；公厕设有醒目标志牌、创文创卫宣传标语、制度上墙，方便群众入厕；蚊蝇滋生季节，定时喷洒灭蚊蝇药物，有效控制蝇蛆滋生。</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）水电设备及水冲工</w:t>
      </w:r>
      <w:r>
        <w:rPr>
          <w:rFonts w:hint="eastAsia" w:ascii="宋体" w:hAnsi="宋体" w:cs="宋体"/>
          <w:color w:val="000000" w:themeColor="text1"/>
          <w:szCs w:val="21"/>
          <w:highlight w:val="none"/>
          <w14:textFill>
            <w14:solidFill>
              <w14:schemeClr w14:val="tx1"/>
            </w14:solidFill>
          </w14:textFill>
        </w:rPr>
        <w:t xml:space="preserve">具完好。公厕内照明灯（管），洗手台具，整容镜，挂物钩，烘干器等设施配置需完好有效，无积存、无污物、无污迹；设施损坏需及时修复。公厕内需整洁，无乱堆杂物，清扫保洁工具需放置整齐。无乱张贴（涂画）、无乱拉挂、无乱搭建。厕内外指示牌、标志牌规范。定期开展消毒、除“四害”，并负责周边范围内的环境卫生工作。由中标供应商负责公厕设施管理（门，窗损坏遗失，墙体、瓷砖脱落，地板爆裂，房屋漏水，水管破裂，通风，照明，污水管网、化粪池堵塞等），巡查发现上述等情况要立即作出处理。每个厕所需做好台账记录，每月将记录台账抄送采购人。</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粪便收集清运要根据服务人口数量，化粪池的粪便、粪渣、粪水达到设计容量时及时进行清运，并按规定进行无害化处理。地下化粪池无渗、无漏、无溢，并设有防火、防爆等安全标识。收集和运输设施设备密闭性好，清运粪便过程无溢流。保持作业场地清洁卫生，无遗撒粪便。清运作业结束后，需盖严（修复）粪池口，并及时清洗场地和清运工具。</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）管理人员及岗位责任制要落实，定时清扫，按时保洁。</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公厕的日常保洁管理要达到“六无、四净”标准，厕内及周围环境卫生做到“六无”（即：无痰涕纸屑、无屎尿溢塞、无积尘蛛网、无污泥积水、无蝇蛆、无明显臭味）、“四净”（即：地面、蹲位、挡墙净；粪槽、尿槽、池斗净；门窗设备净；周围环境净）。满足《城镇环境卫生设施设置标准》、《公共厕所卫生规范》等要求。</w:t>
      </w:r>
      <w:r/>
    </w:p>
    <w:p>
      <w:pPr>
        <w:pStyle w:val="876"/>
        <w:ind w:firstLine="0"/>
        <w:rPr>
          <w:rFonts w:cs="宋体"/>
          <w:b/>
          <w:bCs/>
          <w:color w:val="000000" w:themeColor="text1"/>
          <w:szCs w:val="21"/>
          <w:highlight w:val="none"/>
          <w14:textFill>
            <w14:solidFill>
              <w14:schemeClr w14:val="tx1"/>
            </w14:solidFill>
          </w14:textFill>
        </w:rPr>
      </w:pPr>
      <w:r>
        <w:rPr>
          <w:rFonts w:cs="宋体"/>
          <w:b/>
          <w:bCs/>
          <w:color w:val="000000" w:themeColor="text1"/>
          <w:szCs w:val="21"/>
          <w:highlight w:val="none"/>
          <w14:textFill>
            <w14:solidFill>
              <w14:schemeClr w14:val="tx1"/>
            </w14:solidFill>
          </w14:textFill>
        </w:rPr>
        <w:t xml:space="preserve">10.</w:t>
      </w:r>
      <w:r>
        <w:rPr>
          <w:rFonts w:hint="eastAsia" w:cs="宋体"/>
          <w:b/>
          <w:bCs/>
          <w:color w:val="000000" w:themeColor="text1"/>
          <w:szCs w:val="21"/>
          <w:highlight w:val="none"/>
          <w14:textFill>
            <w14:solidFill>
              <w14:schemeClr w14:val="tx1"/>
            </w14:solidFill>
          </w14:textFill>
        </w:rPr>
        <w:t xml:space="preserve">垃圾分类的作业要求</w:t>
      </w:r>
      <w:r/>
    </w:p>
    <w:p>
      <w:pPr>
        <w:pStyle w:val="876"/>
        <w:ind w:firstLine="422"/>
        <w:rPr>
          <w:rFonts w:cs="宋体"/>
          <w:b/>
          <w:bCs/>
          <w:color w:val="000000" w:themeColor="text1"/>
          <w:szCs w:val="21"/>
          <w:highlight w:val="none"/>
          <w14:textFill>
            <w14:solidFill>
              <w14:schemeClr w14:val="tx1"/>
            </w14:solidFill>
          </w14:textFill>
        </w:rPr>
      </w:pPr>
      <w:r>
        <w:rPr>
          <w:rFonts w:cs="宋体"/>
          <w:b/>
          <w:bCs/>
          <w:color w:val="000000" w:themeColor="text1"/>
          <w:szCs w:val="21"/>
          <w:highlight w:val="none"/>
          <w14:textFill>
            <w14:solidFill>
              <w14:schemeClr w14:val="tx1"/>
            </w14:solidFill>
          </w14:textFill>
        </w:rPr>
        <w:t xml:space="preserve">10.1</w:t>
      </w:r>
      <w:r>
        <w:rPr>
          <w:rFonts w:hint="eastAsia" w:cs="宋体"/>
          <w:b/>
          <w:bCs/>
          <w:color w:val="000000" w:themeColor="text1"/>
          <w:szCs w:val="21"/>
          <w:highlight w:val="none"/>
          <w14:textFill>
            <w14:solidFill>
              <w14:schemeClr w14:val="tx1"/>
            </w14:solidFill>
          </w14:textFill>
        </w:rPr>
        <w:t xml:space="preserve">组织机构要求</w:t>
      </w:r>
      <w:r/>
    </w:p>
    <w:p>
      <w:pPr>
        <w:pStyle w:val="876"/>
        <w:ind w:firstLine="420"/>
        <w:rPr>
          <w:rFonts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中标供应商配合垃圾分类工作，员工都要熟知垃圾分类知识要点。</w:t>
      </w:r>
      <w:r/>
    </w:p>
    <w:p>
      <w:pPr>
        <w:pStyle w:val="876"/>
        <w:ind w:firstLine="422"/>
        <w:rPr>
          <w:rFonts w:cs="宋体"/>
          <w:b/>
          <w:bCs/>
          <w:color w:val="000000" w:themeColor="text1"/>
          <w:szCs w:val="21"/>
          <w:highlight w:val="none"/>
          <w14:textFill>
            <w14:solidFill>
              <w14:schemeClr w14:val="tx1"/>
            </w14:solidFill>
          </w14:textFill>
        </w:rPr>
      </w:pPr>
      <w:r>
        <w:rPr>
          <w:rFonts w:cs="宋体"/>
          <w:b/>
          <w:bCs/>
          <w:color w:val="000000" w:themeColor="text1"/>
          <w:szCs w:val="21"/>
          <w:highlight w:val="none"/>
          <w14:textFill>
            <w14:solidFill>
              <w14:schemeClr w14:val="tx1"/>
            </w14:solidFill>
          </w14:textFill>
        </w:rPr>
        <w:t xml:space="preserve">10.2</w:t>
      </w:r>
      <w:r>
        <w:rPr>
          <w:rFonts w:hint="eastAsia" w:cs="宋体"/>
          <w:b/>
          <w:bCs/>
          <w:color w:val="000000" w:themeColor="text1"/>
          <w:szCs w:val="21"/>
          <w:highlight w:val="none"/>
          <w14:textFill>
            <w14:solidFill>
              <w14:schemeClr w14:val="tx1"/>
            </w14:solidFill>
          </w14:textFill>
        </w:rPr>
        <w:t xml:space="preserve">分类工作成效标准</w:t>
      </w:r>
      <w:r/>
    </w:p>
    <w:p>
      <w:pPr>
        <w:pStyle w:val="876"/>
        <w:ind w:firstLine="42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1</w:t>
      </w:r>
      <w:r>
        <w:rPr>
          <w:rFonts w:hint="eastAsia" w:cs="宋体"/>
          <w:color w:val="000000" w:themeColor="text1"/>
          <w:szCs w:val="21"/>
          <w:highlight w:val="none"/>
          <w14:textFill>
            <w14:solidFill>
              <w14:schemeClr w14:val="tx1"/>
            </w14:solidFill>
          </w14:textFill>
        </w:rPr>
        <w:t xml:space="preserve">）目前省、市正在推进生活垃圾分类工作，中标供应商应配合采购人及上级政府（部门）的有关要求，集镇范围内垃圾分类严格执行扬州市地方标准《城乡生活垃圾分类管理规范》等生活垃圾分类管理方案的有关规定。</w:t>
      </w:r>
      <w:r/>
    </w:p>
    <w:p>
      <w:pPr>
        <w:pStyle w:val="876"/>
        <w:ind w:firstLine="42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）全力配合完成生活垃圾分类示范创建工作</w:t>
      </w:r>
      <w:r/>
    </w:p>
    <w:p>
      <w:pPr>
        <w:pStyle w:val="876"/>
        <w:ind w:firstLine="0"/>
        <w:rPr>
          <w:rFonts w:cs="宋体"/>
          <w:b/>
          <w:bCs/>
          <w:color w:val="000000" w:themeColor="text1"/>
          <w:szCs w:val="21"/>
          <w:highlight w:val="none"/>
          <w14:textFill>
            <w14:solidFill>
              <w14:schemeClr w14:val="tx1"/>
            </w14:solidFill>
          </w14:textFill>
        </w:rPr>
      </w:pPr>
      <w:r>
        <w:rPr>
          <w:rFonts w:cs="宋体"/>
          <w:b/>
          <w:bCs/>
          <w:color w:val="000000" w:themeColor="text1"/>
          <w:szCs w:val="21"/>
          <w:highlight w:val="none"/>
          <w14:textFill>
            <w14:solidFill>
              <w14:schemeClr w14:val="tx1"/>
            </w14:solidFill>
          </w14:textFill>
        </w:rPr>
        <w:t xml:space="preserve">11.</w:t>
      </w:r>
      <w:r>
        <w:rPr>
          <w:rFonts w:hint="eastAsia" w:cs="宋体"/>
          <w:b/>
          <w:bCs/>
          <w:color w:val="000000" w:themeColor="text1"/>
          <w:szCs w:val="21"/>
          <w:highlight w:val="none"/>
          <w14:textFill>
            <w14:solidFill>
              <w14:schemeClr w14:val="tx1"/>
            </w14:solidFill>
          </w14:textFill>
        </w:rPr>
        <w:t xml:space="preserve">扫雪、除冰、除淤等作业要求</w:t>
      </w:r>
      <w:r/>
    </w:p>
    <w:p>
      <w:pPr>
        <w:ind w:firstLine="422"/>
        <w:spacing w:line="360" w:lineRule="auto"/>
        <w:rPr>
          <w:rFonts w:ascii="宋体" w:cs="宋体"/>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11.1 </w:t>
      </w:r>
      <w:r>
        <w:rPr>
          <w:rFonts w:hint="eastAsia" w:ascii="宋体" w:hAnsi="宋体" w:cs="宋体"/>
          <w:b/>
          <w:bCs/>
          <w:color w:val="000000" w:themeColor="text1"/>
          <w:szCs w:val="21"/>
          <w:highlight w:val="none"/>
          <w14:textFill>
            <w14:solidFill>
              <w14:schemeClr w14:val="tx1"/>
            </w14:solidFill>
          </w14:textFill>
        </w:rPr>
        <w:t xml:space="preserve">冬季扫雪除冰的作业要求</w:t>
      </w:r>
      <w:r>
        <w:rPr>
          <w:rFonts w:ascii="宋体" w:hAnsi="宋体" w:cs="宋体"/>
          <w:b/>
          <w:bCs/>
          <w:color w:val="000000" w:themeColor="text1"/>
          <w:szCs w:val="21"/>
          <w:highlight w:val="none"/>
          <w14:textFill>
            <w14:solidFill>
              <w14:schemeClr w14:val="tx1"/>
            </w14:solidFill>
          </w14:textFill>
        </w:rPr>
        <w:t xml:space="preserve"> </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）机械作业</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当雪量</w:t>
      </w:r>
      <w:r>
        <w:rPr>
          <w:rFonts w:hint="eastAsia" w:asci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5cm</w:t>
      </w:r>
      <w:r>
        <w:rPr>
          <w:rFonts w:hint="eastAsia" w:ascii="宋体" w:hAnsi="宋体" w:cs="宋体"/>
          <w:color w:val="000000" w:themeColor="text1"/>
          <w:szCs w:val="21"/>
          <w:highlight w:val="none"/>
          <w14:textFill>
            <w14:solidFill>
              <w14:schemeClr w14:val="tx1"/>
            </w14:solidFill>
          </w14:textFill>
        </w:rPr>
        <w:t xml:space="preserve">时，</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使用扫雪车以</w:t>
      </w:r>
      <w:r>
        <w:rPr>
          <w:rFonts w:ascii="宋体" w:hAnsi="宋体" w:cs="宋体"/>
          <w:color w:val="000000" w:themeColor="text1"/>
          <w:szCs w:val="21"/>
          <w:highlight w:val="none"/>
          <w14:textFill>
            <w14:solidFill>
              <w14:schemeClr w14:val="tx1"/>
            </w14:solidFill>
          </w14:textFill>
        </w:rPr>
        <w:t xml:space="preserve">20-30km/h</w:t>
      </w:r>
      <w:r>
        <w:rPr>
          <w:rFonts w:hint="eastAsia" w:ascii="宋体" w:hAnsi="宋体" w:cs="宋体"/>
          <w:color w:val="000000" w:themeColor="text1"/>
          <w:szCs w:val="21"/>
          <w:highlight w:val="none"/>
          <w14:textFill>
            <w14:solidFill>
              <w14:schemeClr w14:val="tx1"/>
            </w14:solidFill>
          </w14:textFill>
        </w:rPr>
        <w:t xml:space="preserve">速度作业，后跟融雪剂撒布车进行防冰处理；当雪量≥</w:t>
      </w:r>
      <w:r>
        <w:rPr>
          <w:rFonts w:ascii="宋体" w:hAnsi="宋体" w:cs="宋体"/>
          <w:color w:val="000000" w:themeColor="text1"/>
          <w:szCs w:val="21"/>
          <w:highlight w:val="none"/>
          <w14:textFill>
            <w14:solidFill>
              <w14:schemeClr w14:val="tx1"/>
            </w14:solidFill>
          </w14:textFill>
        </w:rPr>
        <w:t xml:space="preserve">5cm</w:t>
      </w:r>
      <w:r>
        <w:rPr>
          <w:rFonts w:hint="eastAsia" w:ascii="宋体" w:hAnsi="宋体" w:cs="宋体"/>
          <w:color w:val="000000" w:themeColor="text1"/>
          <w:szCs w:val="21"/>
          <w:highlight w:val="none"/>
          <w14:textFill>
            <w14:solidFill>
              <w14:schemeClr w14:val="tx1"/>
            </w14:solidFill>
          </w14:textFill>
        </w:rPr>
        <w:t xml:space="preserve">时：</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组合推雪车、扫雪车与融雪剂撒布车联合作业，采用“推雪→扫雪→撒布”三步流程；当路段结冰时，增加破冰车破冰环节，执行</w:t>
      </w:r>
      <w:r>
        <w:rPr>
          <w:rFonts w:hint="eastAsia"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破冰</w:t>
      </w:r>
      <w:r>
        <w:rPr>
          <w:rFonts w:hint="eastAsia"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扫雪</w:t>
      </w:r>
      <w:r>
        <w:rPr>
          <w:rFonts w:hint="eastAsia"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撒布</w:t>
      </w:r>
      <w:r>
        <w:rPr>
          <w:rFonts w:hint="eastAsia"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流程。优先保障立交桥、主干道及公交车道，按“先打通一条路，再扩展两侧”顺序推进。暴雪时启动机械征用机制，延长作业时间并提升清运频次。</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）人工作业</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）融雪剂使用</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气温≤</w:t>
      </w:r>
      <w:r>
        <w:rPr>
          <w:rFonts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℃时优先撒布防冻结冰，融雪剂用量根据温度动态调整（</w:t>
      </w:r>
      <w:r>
        <w:rPr>
          <w:rFonts w:ascii="宋体" w:cs="宋体"/>
          <w:color w:val="000000" w:themeColor="text1"/>
          <w:szCs w:val="21"/>
          <w:highlight w:val="none"/>
          <w14:textFill>
            <w14:solidFill>
              <w14:schemeClr w14:val="tx1"/>
            </w14:solidFill>
          </w14:textFill>
        </w:rPr>
        <w:t xml:space="preserve">0</w:t>
      </w:r>
      <w:r>
        <w:rPr>
          <w:rFonts w:hint="eastAsia" w:ascii="宋体" w:hAnsi="宋体" w:cs="宋体"/>
          <w:color w:val="000000" w:themeColor="text1"/>
          <w:szCs w:val="21"/>
          <w:highlight w:val="none"/>
          <w14:textFill>
            <w14:solidFill>
              <w14:schemeClr w14:val="tx1"/>
            </w14:solidFill>
          </w14:textFill>
        </w:rPr>
        <w:t xml:space="preserve">℃用量下限，低温取上限）。采用撒布机精准控制剂量，确保均匀覆盖且单位面积用量≤规范限值。含融雪剂的积雪需集中转运至指定场所，严禁堆放于绿地或水源地周边。</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）防滑垫</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根据天气预报提前布设防滑垫，需对突发降雪或冻雨，在易积雪结冰处加设防滑垫，并与警示标识配合使用。及时清理表面冰渣、积水，检查磨损情况并及时更换破损垫片。</w:t>
      </w:r>
      <w:r/>
    </w:p>
    <w:p>
      <w:pPr>
        <w:ind w:firstLine="422"/>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11.2 </w:t>
      </w:r>
      <w:r>
        <w:rPr>
          <w:rFonts w:hint="eastAsia" w:ascii="宋体" w:hAnsi="宋体" w:cs="宋体"/>
          <w:b/>
          <w:bCs/>
          <w:color w:val="000000" w:themeColor="text1"/>
          <w:szCs w:val="21"/>
          <w:highlight w:val="none"/>
          <w14:textFill>
            <w14:solidFill>
              <w14:schemeClr w14:val="tx1"/>
            </w14:solidFill>
          </w14:textFill>
        </w:rPr>
        <w:t xml:space="preserve">夏季除淤的作业要求</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）雨前准备。按照防微杜渐、汛情命令、盯守巡查、责任追究的原则，认真落实夏季防汛工作，达到防汛工作整体安排科学周密。道路保洁工作需确保</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汛前预防工作充分完备。需巡查各岗位保洁员的工作，及时清扫道路上的垃圾杂物，及时清理道路上的建筑渣土</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避免将其冲入地下排水管道。</w:t>
      </w:r>
      <w:r>
        <w:rPr>
          <w:rFonts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雨后道路清淤。需及时清扫地面上的所有垃圾袋、纸屑、树叶、泥土、石子及其他杂物；发生塌陷或有大量泥土、泥沙冲至路面绿地时，需协助绿化工人及时清运、打扫现场；需查看雨水井、管道排水是否畅通，防止发生堵塞外溢。</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除淤要求：达到“三净、二无、二不”的工作标准。“三净”标准：路面净、便道净、路牙净；“二无”标准：无遗漏、无堆积；“二不”标准：除淤不得损坏路面、淤泥不得倒入垃圾池（草坪、花池和树坑内）。</w:t>
      </w:r>
      <w:r/>
    </w:p>
    <w:p>
      <w:pPr>
        <w:ind w:firstLine="422"/>
        <w:spacing w:line="360" w:lineRule="auto"/>
        <w:rPr>
          <w:rFonts w:ascii="宋体" w:cs="宋体"/>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11.3 </w:t>
      </w:r>
      <w:r>
        <w:rPr>
          <w:rFonts w:hint="eastAsia" w:ascii="宋体" w:hAnsi="宋体" w:cs="宋体"/>
          <w:b/>
          <w:bCs/>
          <w:color w:val="000000" w:themeColor="text1"/>
          <w:szCs w:val="21"/>
          <w:highlight w:val="none"/>
          <w14:textFill>
            <w14:solidFill>
              <w14:schemeClr w14:val="tx1"/>
            </w14:solidFill>
          </w14:textFill>
        </w:rPr>
        <w:t xml:space="preserve">大风天气保洁</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）加强大风天气落叶清扫收运车辆维修与维护工作。积极开展车辆大排查工作，对存在安全隐患的车辆进行及时维修与更换，提高车辆工作效率。</w:t>
      </w:r>
      <w:r>
        <w:rPr>
          <w:rFonts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）落实物资储备工作，购买充足的编织袋等物资，保障落叶收运有序开展。</w:t>
      </w:r>
      <w:r>
        <w:rPr>
          <w:rFonts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）充分发挥机械作业效能，采取人机结合的方式，做到随落叶随收集、随装袋，确保落叶及时清扫和收运。</w:t>
      </w:r>
      <w:r>
        <w:rPr>
          <w:rFonts w:ascii="宋体" w:hAnsi="宋体" w:cs="宋体"/>
          <w:color w:val="000000" w:themeColor="text1"/>
          <w:szCs w:val="21"/>
          <w:highlight w:val="none"/>
          <w14:textFill>
            <w14:solidFill>
              <w14:schemeClr w14:val="tx1"/>
            </w14:solidFill>
          </w14:textFill>
        </w:rPr>
        <w:t xml:space="preserve"> </w:t>
      </w:r>
      <w:r/>
    </w:p>
    <w:p>
      <w:pPr>
        <w:pStyle w:val="876"/>
        <w:ind w:firstLine="42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4</w:t>
      </w:r>
      <w:r>
        <w:rPr>
          <w:rFonts w:hint="eastAsia" w:cs="宋体"/>
          <w:color w:val="000000" w:themeColor="text1"/>
          <w:szCs w:val="21"/>
          <w:highlight w:val="none"/>
          <w14:textFill>
            <w14:solidFill>
              <w14:schemeClr w14:val="tx1"/>
            </w14:solidFill>
          </w14:textFill>
        </w:rPr>
        <w:t xml:space="preserve">）合理调度车辆，提高作业效率，对落叶集中路段进行重点集中清扫与收运。</w:t>
      </w:r>
      <w:r/>
    </w:p>
    <w:p>
      <w:pPr>
        <w:ind w:firstLine="422"/>
        <w:spacing w:line="360" w:lineRule="auto"/>
        <w:tabs>
          <w:tab w:val="left" w:pos="7770" w:leader="none"/>
        </w:tabs>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四、作业人员要求</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4.1</w:t>
      </w:r>
      <w:r>
        <w:rPr>
          <w:rFonts w:hint="eastAsia" w:ascii="宋体" w:hAnsi="宋体" w:cs="宋体"/>
          <w:b/>
          <w:bCs/>
          <w:color w:val="000000" w:themeColor="text1"/>
          <w:szCs w:val="21"/>
          <w:highlight w:val="none"/>
          <w14:textFill>
            <w14:solidFill>
              <w14:schemeClr w14:val="tx1"/>
            </w14:solidFill>
          </w14:textFill>
        </w:rPr>
        <w:t xml:space="preserve">本包人员岗位具体要求按前款“包</w:t>
      </w:r>
      <w:r>
        <w:rPr>
          <w:rFonts w:ascii="宋体" w:hAnsi="宋体" w:cs="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14:textFill>
            <w14:solidFill>
              <w14:schemeClr w14:val="tx1"/>
            </w14:solidFill>
          </w14:textFill>
        </w:rPr>
        <w:t xml:space="preserve">市场化最低核定人数”表格执行。</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项目负责人：熟悉环卫智能化管理，有较强的决策分析和解决问题能力，有较强的管理能力和组织协调能力，服务意识强，责任心强，身体健康，吃苦耐劳，遵纪守法，作风正派，品行端正，有较强的敬业精神；</w:t>
      </w:r>
      <w:r/>
    </w:p>
    <w:p>
      <w:pPr>
        <w:ind w:firstLine="420"/>
        <w:spacing w:line="360" w:lineRule="auto"/>
        <w:tabs>
          <w:tab w:val="left" w:pos="7770"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管理人员</w:t>
      </w:r>
      <w:r>
        <w:rPr>
          <w:rFonts w:hint="eastAsia" w:ascii="宋体" w:hAnsi="宋体" w:cs="宋体"/>
          <w:color w:val="000000" w:themeColor="text1"/>
          <w:szCs w:val="21"/>
          <w:highlight w:val="none"/>
          <w14:textFill>
            <w14:solidFill>
              <w14:schemeClr w14:val="tx1"/>
            </w14:solidFill>
          </w14:textFill>
        </w:rPr>
        <w:t xml:space="preserve">：协助项目经理进行环卫智能化管理，有较强解决问题能力，有较强的组织协调能力，服务意识强，责任心强，身体健康，吃苦耐劳，遵纪守法，作风正派，品行端正，有较强的敬业精神；</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）驾驶员：具有相关作业机动车驾驶证，服务意识强，责任心强，身体健康，吃苦耐劳，遵纪守法，作风正派，品行端正，有较强的敬业精神；</w:t>
      </w:r>
      <w:r/>
    </w:p>
    <w:p>
      <w:pPr>
        <w:ind w:firstLine="420"/>
        <w:spacing w:line="360" w:lineRule="auto"/>
        <w:tabs>
          <w:tab w:val="left" w:pos="7770" w:leader="none"/>
        </w:tabs>
        <w:rPr>
          <w:rFonts w:ascii="宋体" w:cs="宋体"/>
          <w:i/>
          <w:i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（4）保洁员、中转站操作工、垃圾清运工：服务意识强，责任心强，身体健康，吃苦耐劳，遵纪守法，作风正派，品行端正，有较强的敬业精神。</w:t>
      </w:r>
      <w:r/>
    </w:p>
    <w:p>
      <w:pPr>
        <w:ind w:firstLine="420"/>
        <w:spacing w:line="360" w:lineRule="auto"/>
        <w:tabs>
          <w:tab w:val="left" w:pos="7770" w:leader="none"/>
        </w:tabs>
        <w:rPr>
          <w:rFonts w:ascii="宋体" w:cs="宋体"/>
          <w:i/>
          <w:iCs/>
          <w:color w:val="000000" w:themeColor="text1"/>
          <w:szCs w:val="21"/>
          <w:highlight w:val="none"/>
          <w:u w:val="single"/>
          <w14:textFill>
            <w14:solidFill>
              <w14:schemeClr w14:val="tx1"/>
            </w14:solidFill>
          </w14:textFill>
        </w:rPr>
      </w:pPr>
      <w:r>
        <w:rPr>
          <w:rFonts w:ascii="宋体" w:hAnsi="宋体" w:cs="宋体"/>
          <w:i/>
          <w:iCs/>
          <w:color w:val="000000" w:themeColor="text1"/>
          <w:szCs w:val="21"/>
          <w:highlight w:val="none"/>
          <w:u w:val="single"/>
          <w14:textFill>
            <w14:solidFill>
              <w14:schemeClr w14:val="tx1"/>
            </w14:solidFill>
          </w14:textFill>
        </w:rPr>
        <w:t xml:space="preserve">4.2</w:t>
      </w:r>
      <w:r>
        <w:rPr>
          <w:rFonts w:hint="eastAsia" w:ascii="宋体" w:hAnsi="宋体" w:cs="宋体"/>
          <w:i/>
          <w:iCs/>
          <w:color w:val="000000" w:themeColor="text1"/>
          <w:szCs w:val="21"/>
          <w:highlight w:val="none"/>
          <w:u w:val="single"/>
          <w14:textFill>
            <w14:solidFill>
              <w14:schemeClr w14:val="tx1"/>
            </w14:solidFill>
          </w14:textFill>
        </w:rPr>
        <w:t xml:space="preserve">投标人须承诺本项目提供项目需求的人数量为最低要求，投标人可高于但不可低于此数量。（提供人员配备承诺函原件上传，格式自拟）</w:t>
      </w:r>
      <w:r/>
    </w:p>
    <w:p>
      <w:pPr>
        <w:ind w:firstLine="420"/>
        <w:spacing w:line="360" w:lineRule="auto"/>
        <w:tabs>
          <w:tab w:val="left" w:pos="7770" w:leader="none"/>
        </w:tabs>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4.3 </w:t>
      </w:r>
      <w:bookmarkStart w:id="37" w:name="OLE_LINK3"/>
      <w:r/>
      <w:bookmarkStart w:id="38" w:name="OLE_LINK4"/>
      <w:r>
        <w:rPr>
          <w:rFonts w:hint="eastAsia" w:ascii="宋体" w:hAnsi="宋体" w:cs="宋体"/>
          <w:color w:val="000000" w:themeColor="text1"/>
          <w:szCs w:val="21"/>
          <w:highlight w:val="none"/>
          <w14:textFill>
            <w14:solidFill>
              <w14:schemeClr w14:val="tx1"/>
            </w14:solidFill>
          </w14:textFill>
        </w:rPr>
        <w:t xml:space="preserve">中标供应商</w:t>
      </w:r>
      <w:bookmarkEnd w:id="37"/>
      <w:r/>
      <w:bookmarkEnd w:id="38"/>
      <w:r>
        <w:rPr>
          <w:rFonts w:hint="eastAsia" w:ascii="宋体" w:hAnsi="宋体" w:cs="宋体"/>
          <w:color w:val="000000" w:themeColor="text1"/>
          <w:szCs w:val="21"/>
          <w:highlight w:val="none"/>
          <w14:textFill>
            <w14:solidFill>
              <w14:schemeClr w14:val="tx1"/>
            </w14:solidFill>
          </w14:textFill>
        </w:rPr>
        <w:t xml:space="preserve">根据本项目的服务标准、要求及道路实际情况自行调配各岗位人员，登记造册后报采购人审查确认</w:t>
      </w:r>
      <w:bookmarkStart w:id="39" w:name="OLE_LINK9"/>
      <w:r/>
      <w:bookmarkStart w:id="40" w:name="OLE_LINK8"/>
      <w:r>
        <w:rPr>
          <w:rFonts w:hint="eastAsia" w:ascii="宋体" w:hAnsi="宋体" w:cs="宋体"/>
          <w:color w:val="000000" w:themeColor="text1"/>
          <w:szCs w:val="21"/>
          <w:highlight w:val="none"/>
          <w14:textFill>
            <w14:solidFill>
              <w14:schemeClr w14:val="tx1"/>
            </w14:solidFill>
          </w14:textFill>
        </w:rPr>
        <w:t xml:space="preserve">。</w:t>
      </w:r>
      <w:bookmarkEnd w:id="39"/>
      <w:r/>
      <w:bookmarkEnd w:id="40"/>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4.4 </w:t>
      </w:r>
      <w:r>
        <w:rPr>
          <w:rFonts w:hint="eastAsia" w:ascii="宋体" w:hAnsi="宋体" w:cs="宋体"/>
          <w:color w:val="000000" w:themeColor="text1"/>
          <w:szCs w:val="21"/>
          <w:highlight w:val="none"/>
          <w14:textFill>
            <w14:solidFill>
              <w14:schemeClr w14:val="tx1"/>
            </w14:solidFill>
          </w14:textFill>
        </w:rPr>
        <w:t xml:space="preserve">为保证服务质量，中标供应商对所录用人员要严格审查，保证录用人员没有刑事犯罪记录，身体健康。录用人员不违反法律、法规相关规定，工作责任心强。</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4.5 </w:t>
      </w:r>
      <w:r>
        <w:rPr>
          <w:rFonts w:hint="eastAsia" w:ascii="宋体" w:hAnsi="宋体" w:cs="宋体"/>
          <w:color w:val="000000" w:themeColor="text1"/>
          <w:szCs w:val="21"/>
          <w:highlight w:val="none"/>
          <w14:textFill>
            <w14:solidFill>
              <w14:schemeClr w14:val="tx1"/>
            </w14:solidFill>
          </w14:textFill>
        </w:rPr>
        <w:t xml:space="preserve">中标供应商需设有应急队，在不影响日常的服务内容及任务的前提下，当有特殊任务或应急事件发生时能立即处理，并无条件服从采购人安排。</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4.6 </w:t>
      </w:r>
      <w:r>
        <w:rPr>
          <w:rFonts w:hint="eastAsia" w:ascii="宋体" w:hAnsi="宋体" w:cs="宋体"/>
          <w:color w:val="000000" w:themeColor="text1"/>
          <w:szCs w:val="21"/>
          <w:highlight w:val="none"/>
          <w14:textFill>
            <w14:solidFill>
              <w14:schemeClr w14:val="tx1"/>
            </w14:solidFill>
          </w14:textFill>
        </w:rPr>
        <w:t xml:space="preserve">操作环卫机械设备设施的作业人员需经正规培训并有相应的资格证，并按标准操作规范进行安全作业，禁止无证作业。</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4.7 </w:t>
      </w:r>
      <w:r>
        <w:rPr>
          <w:rFonts w:hint="eastAsia" w:ascii="宋体" w:hAnsi="宋体" w:cs="宋体"/>
          <w:color w:val="000000" w:themeColor="text1"/>
          <w:szCs w:val="21"/>
          <w:highlight w:val="none"/>
          <w14:textFill>
            <w14:solidFill>
              <w14:schemeClr w14:val="tx1"/>
            </w14:solidFill>
          </w14:textFill>
        </w:rPr>
        <w:t xml:space="preserve">做好公司管理架构，管理人员安排，确保一级管一级，级级有人管，实名制登记并向采购人备案存档。</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4.8 </w:t>
      </w:r>
      <w:r>
        <w:rPr>
          <w:rFonts w:hint="eastAsia" w:ascii="宋体" w:hAnsi="宋体" w:cs="宋体"/>
          <w:color w:val="000000" w:themeColor="text1"/>
          <w:szCs w:val="21"/>
          <w:highlight w:val="none"/>
          <w14:textFill>
            <w14:solidFill>
              <w14:schemeClr w14:val="tx1"/>
            </w14:solidFill>
          </w14:textFill>
        </w:rPr>
        <w:t xml:space="preserve">中标供应商为本项目服务人员配置安全作业的工具和劳动保护用品，并落实好安全生产的措施。中标供应商聘请的员工在工作时间需穿着统一的工作服，配置工号牌，工作服上要印上公司名称；服务期间，中标供应商聘用的人员如出现违规违纪行为以及员工伤亡等安全事故一概由中标供应商承担，与采购人无关。</w:t>
      </w:r>
      <w:r>
        <w:rPr>
          <w:rFonts w:ascii="宋体" w:hAnsi="宋体" w:cs="宋体"/>
          <w:color w:val="000000" w:themeColor="text1"/>
          <w:szCs w:val="21"/>
          <w:highlight w:val="none"/>
          <w14:textFill>
            <w14:solidFill>
              <w14:schemeClr w14:val="tx1"/>
            </w14:solidFill>
          </w14:textFill>
        </w:rPr>
        <w:t xml:space="preserve"> </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4.9 </w:t>
      </w:r>
      <w:r>
        <w:rPr>
          <w:rFonts w:hint="eastAsia" w:ascii="宋体" w:hAnsi="宋体" w:cs="宋体"/>
          <w:color w:val="000000" w:themeColor="text1"/>
          <w:szCs w:val="21"/>
          <w:highlight w:val="none"/>
          <w14:textFill>
            <w14:solidFill>
              <w14:schemeClr w14:val="tx1"/>
            </w14:solidFill>
          </w14:textFill>
        </w:rPr>
        <w:t xml:space="preserve">中标供应商需执行国家劳动法的相关规定。</w:t>
      </w:r>
      <w:r/>
    </w:p>
    <w:p>
      <w:pPr>
        <w:ind w:firstLine="420"/>
        <w:spacing w:line="360" w:lineRule="auto"/>
        <w:tabs>
          <w:tab w:val="left" w:pos="7770" w:leader="none"/>
        </w:tabs>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4.10 </w:t>
      </w:r>
      <w:r>
        <w:rPr>
          <w:rFonts w:hint="eastAsia" w:ascii="宋体" w:hAnsi="宋体" w:cs="宋体"/>
          <w:b/>
          <w:bCs/>
          <w:color w:val="000000" w:themeColor="text1"/>
          <w:szCs w:val="21"/>
          <w:highlight w:val="none"/>
          <w14:textFill>
            <w14:solidFill>
              <w14:schemeClr w14:val="tx1"/>
            </w14:solidFill>
          </w14:textFill>
        </w:rPr>
        <w:t xml:space="preserve">环卫职工劳动保障要求</w:t>
      </w:r>
      <w:r>
        <w:rPr>
          <w:rFonts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以下为当前执行标准，如有调整，以社保和税务部门公布为准</w:t>
      </w:r>
      <w:r>
        <w:rPr>
          <w:rFonts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如下：</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中标供应商需严格执行《中华人民共和国民法典》、《中华人民共和国劳动法》以及省、市、区关于用工要求、职工劳动保护、劳动保障等相关规定，办理劳动用工备案手续。按有关规定及相关标准办理养老保险、医疗保险、失业保险、工伤保险、生育保险等社会保险手续，并及时足额缴纳社会保险费。</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i/>
          <w:iCs/>
          <w:color w:val="000000" w:themeColor="text1"/>
          <w:szCs w:val="21"/>
          <w:highlight w:val="none"/>
          <w:u w:val="single"/>
          <w14:textFill>
            <w14:solidFill>
              <w14:schemeClr w14:val="tx1"/>
            </w14:solidFill>
          </w14:textFill>
        </w:rPr>
        <w:t xml:space="preserve">中标供应商根据《中华人民共和国劳动法》规定聘用的员工（所有人员在国家法定退休年龄以下），须依法签订劳动合同并依法支付相应报酬，其中基本工资</w:t>
      </w:r>
      <w:r>
        <w:rPr>
          <w:rFonts w:ascii="宋体" w:hAnsi="宋体" w:cs="宋体"/>
          <w:i/>
          <w:iCs/>
          <w:color w:val="000000" w:themeColor="text1"/>
          <w:szCs w:val="21"/>
          <w:highlight w:val="none"/>
          <w:u w:val="single"/>
          <w14:textFill>
            <w14:solidFill>
              <w14:schemeClr w14:val="tx1"/>
            </w14:solidFill>
          </w14:textFill>
        </w:rPr>
        <w:t xml:space="preserve">(</w:t>
      </w:r>
      <w:r>
        <w:rPr>
          <w:rFonts w:hint="eastAsia" w:ascii="宋体" w:hAnsi="宋体" w:cs="宋体"/>
          <w:i/>
          <w:iCs/>
          <w:color w:val="000000" w:themeColor="text1"/>
          <w:szCs w:val="21"/>
          <w:highlight w:val="none"/>
          <w:u w:val="single"/>
          <w14:textFill>
            <w14:solidFill>
              <w14:schemeClr w14:val="tx1"/>
            </w14:solidFill>
          </w14:textFill>
        </w:rPr>
        <w:t xml:space="preserve">不含加班工资</w:t>
      </w:r>
      <w:r>
        <w:rPr>
          <w:rFonts w:ascii="宋体" w:hAnsi="宋体" w:cs="宋体"/>
          <w:i/>
          <w:iCs/>
          <w:color w:val="000000" w:themeColor="text1"/>
          <w:szCs w:val="21"/>
          <w:highlight w:val="none"/>
          <w:u w:val="single"/>
          <w14:textFill>
            <w14:solidFill>
              <w14:schemeClr w14:val="tx1"/>
            </w14:solidFill>
          </w14:textFill>
        </w:rPr>
        <w:t xml:space="preserve">)</w:t>
      </w:r>
      <w:r>
        <w:rPr>
          <w:rFonts w:hint="eastAsia" w:ascii="宋体" w:hAnsi="宋体" w:cs="宋体"/>
          <w:i/>
          <w:iCs/>
          <w:color w:val="000000" w:themeColor="text1"/>
          <w:szCs w:val="21"/>
          <w:highlight w:val="none"/>
          <w:u w:val="single"/>
          <w14:textFill>
            <w14:solidFill>
              <w14:schemeClr w14:val="tx1"/>
            </w14:solidFill>
          </w14:textFill>
        </w:rPr>
        <w:t xml:space="preserve">不能低于当年扬州市区最低工资标准（提供人员工资承诺函原件上传，格式自拟）</w:t>
      </w:r>
      <w:r>
        <w:rPr>
          <w:rFonts w:hint="eastAsia" w:ascii="宋体" w:hAnsi="宋体" w:cs="宋体"/>
          <w:color w:val="000000" w:themeColor="text1"/>
          <w:szCs w:val="21"/>
          <w:highlight w:val="none"/>
          <w14:textFill>
            <w14:solidFill>
              <w14:schemeClr w14:val="tx1"/>
            </w14:solidFill>
          </w14:textFill>
        </w:rPr>
        <w:t xml:space="preserve">不得拖欠环卫工人工资</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含加班工资</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按规定为环卫工人缴交各种社会保险，同时为环卫工人购买商业意外保险，具体的缴存比例和执行标准按国家有关部门和当地政府有关规定执行。中标供应商每月需统一发放工人工资和缴纳各种社会保险，并将发放登记表抄送采购人备案。</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）中标供应商需依据《中华人民共和国劳动法》保障环卫工人正常休息时间，确需延长劳动时间的，需当按规定发放加班工资、节假日加班工资。</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供应商需按照《关于做好高温津贴支付有关工作的通知》和扬州市、江都区有关部门的要求，按规定向环卫工人发放高温津贴及相关节日慰问金等。中标供应商与环卫工人解除劳动合同的，依据《中华人民共和国劳动法》规定向环卫工人支付经济补偿金。环卫工人工伤、工亡的，中标供应商需根据有关规定支付相关费用。</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4.11 </w:t>
      </w:r>
      <w:r>
        <w:rPr>
          <w:rFonts w:hint="eastAsia" w:ascii="宋体" w:hAnsi="宋体" w:cs="宋体"/>
          <w:color w:val="000000" w:themeColor="text1"/>
          <w:szCs w:val="21"/>
          <w:highlight w:val="none"/>
          <w14:textFill>
            <w14:solidFill>
              <w14:schemeClr w14:val="tx1"/>
            </w14:solidFill>
          </w14:textFill>
        </w:rPr>
        <w:t xml:space="preserve">中标供应商需执行《中华人民共和国劳动法》有关劳动保障的其他规定。</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4.12 </w:t>
      </w:r>
      <w:r>
        <w:rPr>
          <w:rFonts w:hint="eastAsia" w:ascii="宋体" w:hAnsi="宋体" w:cs="宋体"/>
          <w:color w:val="000000" w:themeColor="text1"/>
          <w:szCs w:val="21"/>
          <w:highlight w:val="none"/>
          <w14:textFill>
            <w14:solidFill>
              <w14:schemeClr w14:val="tx1"/>
            </w14:solidFill>
          </w14:textFill>
        </w:rPr>
        <w:t xml:space="preserve">如遇到政策性规定的最低工资、高温津贴等提高，由中标供应商负责调整发放，采购人不负责增资经费，请中标供应商充分考虑相关风险。</w:t>
      </w:r>
      <w:r/>
    </w:p>
    <w:p>
      <w:pPr>
        <w:ind w:firstLine="420"/>
        <w:spacing w:line="360" w:lineRule="auto"/>
        <w:rPr>
          <w:rFonts w:ascii="宋体" w:cs="宋体"/>
          <w:color w:val="000000" w:themeColor="text1"/>
          <w:szCs w:val="21"/>
          <w:highlight w:val="none"/>
          <w14:textFill>
            <w14:solidFill>
              <w14:schemeClr w14:val="tx1"/>
            </w14:solidFill>
          </w14:textFill>
        </w:rPr>
        <w:outlineLvl w:val="1"/>
      </w:pPr>
      <w:r>
        <w:rPr>
          <w:rFonts w:ascii="宋体" w:hAnsi="宋体" w:cs="宋体"/>
          <w:color w:val="000000" w:themeColor="text1"/>
          <w:szCs w:val="21"/>
          <w:highlight w:val="none"/>
          <w14:textFill>
            <w14:solidFill>
              <w14:schemeClr w14:val="tx1"/>
            </w14:solidFill>
          </w14:textFill>
        </w:rPr>
        <w:t xml:space="preserve">4.13 </w:t>
      </w:r>
      <w:r>
        <w:rPr>
          <w:rFonts w:hint="eastAsia" w:ascii="宋体" w:hAnsi="宋体" w:cs="宋体"/>
          <w:color w:val="000000" w:themeColor="text1"/>
          <w:szCs w:val="21"/>
          <w:highlight w:val="none"/>
          <w14:textFill>
            <w14:solidFill>
              <w14:schemeClr w14:val="tx1"/>
            </w14:solidFill>
          </w14:textFill>
        </w:rPr>
        <w:t xml:space="preserve">中标供应商员工及属下所有雇佣人员不得在服务范围内向任何单位、企业、个人收取任何卫生费用及垃圾代运费，一经查实，中标供应商需承担一切经济和法律责任。</w:t>
      </w:r>
      <w:r/>
    </w:p>
    <w:p>
      <w:pPr>
        <w:ind w:firstLine="422"/>
        <w:spacing w:line="360" w:lineRule="auto"/>
        <w:rPr>
          <w:rFonts w:asci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五、作业设备要求：</w:t>
      </w:r>
      <w:r/>
    </w:p>
    <w:p>
      <w:pPr>
        <w:ind w:firstLine="420"/>
        <w:spacing w:line="360" w:lineRule="auto"/>
        <w:rPr>
          <w:rFonts w:ascii="宋体" w:cs="宋体"/>
          <w:color w:val="000000" w:themeColor="text1"/>
          <w:szCs w:val="21"/>
          <w:highlight w:val="none"/>
          <w14:textFill>
            <w14:solidFill>
              <w14:schemeClr w14:val="tx1"/>
            </w14:solidFill>
          </w14:textFill>
        </w:rPr>
        <w:outlineLvl w:val="1"/>
      </w:pPr>
      <w:r>
        <w:rPr>
          <w:rFonts w:ascii="宋体" w:hAnsi="宋体" w:cs="宋体"/>
          <w:color w:val="000000" w:themeColor="text1"/>
          <w:szCs w:val="21"/>
          <w:highlight w:val="none"/>
          <w14:textFill>
            <w14:solidFill>
              <w14:schemeClr w14:val="tx1"/>
            </w14:solidFill>
          </w14:textFill>
        </w:rPr>
        <w:t xml:space="preserve">5.1</w:t>
      </w:r>
      <w:r>
        <w:rPr>
          <w:rFonts w:hint="eastAsia" w:ascii="宋体" w:hAnsi="宋体" w:cs="宋体"/>
          <w:color w:val="000000" w:themeColor="text1"/>
          <w:szCs w:val="21"/>
          <w:highlight w:val="none"/>
          <w14:textFill>
            <w14:solidFill>
              <w14:schemeClr w14:val="tx1"/>
            </w14:solidFill>
          </w14:textFill>
        </w:rPr>
        <w:t xml:space="preserve">本分包作业设备具体要求按前款“包</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车辆最低配置（辆、台）</w:t>
      </w:r>
      <w:r>
        <w:rPr>
          <w:rFonts w:hint="eastAsia"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表格执行。</w:t>
      </w:r>
      <w:r/>
    </w:p>
    <w:p>
      <w:pPr>
        <w:ind w:firstLine="420"/>
        <w:spacing w:line="360" w:lineRule="auto"/>
        <w:rPr>
          <w:rFonts w:ascii="宋体" w:cs="宋体"/>
          <w:i/>
          <w:iCs/>
          <w:color w:val="000000" w:themeColor="text1"/>
          <w:szCs w:val="21"/>
          <w:highlight w:val="none"/>
          <w14:textFill>
            <w14:solidFill>
              <w14:schemeClr w14:val="tx1"/>
            </w14:solidFill>
          </w14:textFill>
        </w:rPr>
        <w:outlineLvl w:val="1"/>
      </w:pPr>
      <w:r>
        <w:rPr>
          <w:rFonts w:ascii="宋体" w:hAnsi="宋体" w:cs="宋体"/>
          <w:i/>
          <w:iCs/>
          <w:color w:val="000000" w:themeColor="text1"/>
          <w:szCs w:val="21"/>
          <w:highlight w:val="none"/>
          <w:u w:val="single"/>
          <w14:textFill>
            <w14:solidFill>
              <w14:schemeClr w14:val="tx1"/>
            </w14:solidFill>
          </w14:textFill>
        </w:rPr>
        <w:t xml:space="preserve">5.2</w:t>
      </w:r>
      <w:r>
        <w:rPr>
          <w:rFonts w:hint="eastAsia" w:ascii="宋体" w:hAnsi="宋体" w:cs="宋体"/>
          <w:i/>
          <w:iCs/>
          <w:color w:val="000000" w:themeColor="text1"/>
          <w:szCs w:val="21"/>
          <w:highlight w:val="none"/>
          <w:u w:val="single"/>
          <w14:textFill>
            <w14:solidFill>
              <w14:schemeClr w14:val="tx1"/>
            </w14:solidFill>
          </w14:textFill>
        </w:rPr>
        <w:t xml:space="preserve">投</w:t>
      </w:r>
      <w:r>
        <w:rPr>
          <w:rFonts w:hint="eastAsia" w:ascii="宋体" w:hAnsi="宋体" w:cs="宋体"/>
          <w:i/>
          <w:color w:val="000000" w:themeColor="text1"/>
          <w:szCs w:val="21"/>
          <w:highlight w:val="none"/>
          <w:u w:val="single"/>
          <w14:textFill>
            <w14:solidFill>
              <w14:schemeClr w14:val="tx1"/>
            </w14:solidFill>
          </w14:textFill>
        </w:rPr>
        <w:t xml:space="preserve">标人承诺提供上述基本车辆及设备的数量及配置不低于招标文件规定的配置。</w:t>
      </w:r>
      <w:r>
        <w:rPr>
          <w:rFonts w:hint="eastAsia" w:ascii="宋体" w:hAnsi="宋体" w:cs="宋体"/>
          <w:i/>
          <w:iCs/>
          <w:color w:val="000000" w:themeColor="text1"/>
          <w:szCs w:val="21"/>
          <w:highlight w:val="none"/>
          <w:u w:val="single"/>
          <w14:textFill>
            <w14:solidFill>
              <w14:schemeClr w14:val="tx1"/>
            </w14:solidFill>
          </w14:textFill>
        </w:rPr>
        <w:t xml:space="preserve">（提供车辆配置承诺函原件上传，格式自拟）</w:t>
      </w:r>
      <w:r>
        <w:rPr>
          <w:rFonts w:hint="eastAsia" w:ascii="宋体" w:hAnsi="宋体" w:cs="宋体"/>
          <w:iCs/>
          <w:color w:val="000000" w:themeColor="text1"/>
          <w:szCs w:val="21"/>
          <w:highlight w:val="none"/>
          <w14:textFill>
            <w14:solidFill>
              <w14:schemeClr w14:val="tx1"/>
            </w14:solidFill>
          </w14:textFill>
        </w:rPr>
        <w:t xml:space="preserve">根据江苏省住房和城乡建设厅、江苏省发展和改革委员会、江苏省工业和信息化厅印发的《江苏省住房和城乡建设厅等部门关于环卫领域车辆（作业机具）绿色化智能化更新的通知》苏建城管【</w:t>
      </w:r>
      <w:r>
        <w:rPr>
          <w:rFonts w:ascii="宋体" w:hAnsi="宋体" w:cs="宋体"/>
          <w:iCs/>
          <w:color w:val="000000" w:themeColor="text1"/>
          <w:szCs w:val="21"/>
          <w:highlight w:val="none"/>
          <w14:textFill>
            <w14:solidFill>
              <w14:schemeClr w14:val="tx1"/>
            </w14:solidFill>
          </w14:textFill>
        </w:rPr>
        <w:t xml:space="preserve">2025</w:t>
      </w:r>
      <w:r>
        <w:rPr>
          <w:rFonts w:hint="eastAsia" w:ascii="宋体" w:hAnsi="宋体" w:cs="宋体"/>
          <w:iCs/>
          <w:color w:val="000000" w:themeColor="text1"/>
          <w:szCs w:val="21"/>
          <w:highlight w:val="none"/>
          <w14:textFill>
            <w14:solidFill>
              <w14:schemeClr w14:val="tx1"/>
            </w14:solidFill>
          </w14:textFill>
        </w:rPr>
        <w:t xml:space="preserve">】</w:t>
      </w:r>
      <w:r>
        <w:rPr>
          <w:rFonts w:ascii="宋体" w:hAnsi="宋体" w:cs="宋体"/>
          <w:iCs/>
          <w:color w:val="000000" w:themeColor="text1"/>
          <w:szCs w:val="21"/>
          <w:highlight w:val="none"/>
          <w14:textFill>
            <w14:solidFill>
              <w14:schemeClr w14:val="tx1"/>
            </w14:solidFill>
          </w14:textFill>
        </w:rPr>
        <w:t xml:space="preserve">3</w:t>
      </w:r>
      <w:r>
        <w:rPr>
          <w:rFonts w:hint="eastAsia" w:ascii="宋体" w:hAnsi="宋体" w:cs="宋体"/>
          <w:iCs/>
          <w:color w:val="000000" w:themeColor="text1"/>
          <w:szCs w:val="21"/>
          <w:highlight w:val="none"/>
          <w14:textFill>
            <w14:solidFill>
              <w14:schemeClr w14:val="tx1"/>
            </w14:solidFill>
          </w14:textFill>
        </w:rPr>
        <w:t xml:space="preserve">号文件：在新增或更新时鼓励采用新能源汽车（含纯电动汽车、插电式混合动力汽车或燃料电池汽车），每年新增或更新车辆中</w:t>
      </w:r>
      <w:r>
        <w:rPr>
          <w:rFonts w:ascii="宋体" w:hAnsi="宋体" w:cs="宋体"/>
          <w:iCs/>
          <w:color w:val="000000" w:themeColor="text1"/>
          <w:szCs w:val="21"/>
          <w:highlight w:val="none"/>
          <w14:textFill>
            <w14:solidFill>
              <w14:schemeClr w14:val="tx1"/>
            </w14:solidFill>
          </w14:textFill>
        </w:rPr>
        <w:t xml:space="preserve">15%</w:t>
      </w:r>
      <w:r>
        <w:rPr>
          <w:rFonts w:hint="eastAsia" w:ascii="宋体" w:hAnsi="宋体" w:cs="宋体"/>
          <w:iCs/>
          <w:color w:val="000000" w:themeColor="text1"/>
          <w:szCs w:val="21"/>
          <w:highlight w:val="none"/>
          <w14:textFill>
            <w14:solidFill>
              <w14:schemeClr w14:val="tx1"/>
            </w14:solidFill>
          </w14:textFill>
        </w:rPr>
        <w:t xml:space="preserve">以上使用新能源车，其中新增或更新的轻型车中</w:t>
      </w:r>
      <w:r>
        <w:rPr>
          <w:rFonts w:ascii="宋体" w:hAnsi="宋体" w:cs="宋体"/>
          <w:iCs/>
          <w:color w:val="000000" w:themeColor="text1"/>
          <w:szCs w:val="21"/>
          <w:highlight w:val="none"/>
          <w14:textFill>
            <w14:solidFill>
              <w14:schemeClr w14:val="tx1"/>
            </w14:solidFill>
          </w14:textFill>
        </w:rPr>
        <w:t xml:space="preserve">80%</w:t>
      </w:r>
      <w:r>
        <w:rPr>
          <w:rFonts w:hint="eastAsia" w:ascii="宋体" w:hAnsi="宋体" w:cs="宋体"/>
          <w:iCs/>
          <w:color w:val="000000" w:themeColor="text1"/>
          <w:szCs w:val="21"/>
          <w:highlight w:val="none"/>
          <w14:textFill>
            <w14:solidFill>
              <w14:schemeClr w14:val="tx1"/>
            </w14:solidFill>
          </w14:textFill>
        </w:rPr>
        <w:t xml:space="preserve">以上使用新能源车。根据扬州市人民政府办公室印发《扬州市推动公共领域车辆电动化水平提升工作方案（征求意见稿）》，环卫用车按照市级统筹、区县协同的原则，分批次、分区域、分时段进行市政环卫车辆电动化替代，重点提高洒水车、清扫车、垃圾运输车等车辆的电动化比例，新增和更换车</w:t>
      </w:r>
      <w:r>
        <w:rPr>
          <w:rFonts w:ascii="宋体" w:hAnsi="宋体" w:cs="宋体"/>
          <w:iCs/>
          <w:color w:val="000000" w:themeColor="text1"/>
          <w:szCs w:val="21"/>
          <w:highlight w:val="non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辆的电动化比例不低于</w:t>
      </w:r>
      <w:r>
        <w:rPr>
          <w:rFonts w:ascii="宋体" w:hAnsi="宋体" w:cs="宋体"/>
          <w:iCs/>
          <w:color w:val="000000" w:themeColor="text1"/>
          <w:szCs w:val="21"/>
          <w:highlight w:val="none"/>
          <w14:textFill>
            <w14:solidFill>
              <w14:schemeClr w14:val="tx1"/>
            </w14:solidFill>
          </w14:textFill>
        </w:rPr>
        <w:t xml:space="preserve">80%</w:t>
      </w:r>
      <w:r>
        <w:rPr>
          <w:rFonts w:hint="eastAsia" w:ascii="宋体" w:hAnsi="宋体" w:cs="宋体"/>
          <w:iCs/>
          <w:color w:val="000000" w:themeColor="text1"/>
          <w:szCs w:val="21"/>
          <w:highlight w:val="none"/>
          <w14:textFill>
            <w14:solidFill>
              <w14:schemeClr w14:val="tx1"/>
            </w14:solidFill>
          </w14:textFill>
        </w:rPr>
        <w:t xml:space="preserve">。鼓励建设一批新能源环卫车辆统一停放、充电、维修专用服务站点，降低企业运营成本。</w:t>
      </w:r>
      <w:r/>
    </w:p>
    <w:p>
      <w:pPr>
        <w:ind w:firstLine="420"/>
        <w:jc w:val="left"/>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5.3</w:t>
      </w:r>
      <w:r>
        <w:rPr>
          <w:rFonts w:hint="eastAsia" w:ascii="宋体" w:hAnsi="宋体" w:cs="宋体"/>
          <w:b/>
          <w:bCs/>
          <w:color w:val="000000" w:themeColor="text1"/>
          <w:szCs w:val="21"/>
          <w:highlight w:val="none"/>
          <w14:textFill>
            <w14:solidFill>
              <w14:schemeClr w14:val="tx1"/>
            </w14:solidFill>
          </w14:textFill>
        </w:rPr>
        <w:t xml:space="preserve">所需设备参数</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（一）、小型高压冲洗车</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1</w:t>
      </w:r>
      <w:r>
        <w:rPr>
          <w:rFonts w:hint="eastAsia" w:cs="宋体"/>
          <w:color w:val="000000" w:themeColor="text1"/>
          <w:szCs w:val="21"/>
          <w:highlight w:val="none"/>
          <w14:textFill>
            <w14:solidFill>
              <w14:schemeClr w14:val="tx1"/>
            </w14:solidFill>
          </w14:textFill>
        </w:rPr>
        <w:t xml:space="preserve">）额定载质量：≥</w:t>
      </w:r>
      <w:r>
        <w:rPr>
          <w:rFonts w:cs="宋体"/>
          <w:color w:val="000000" w:themeColor="text1"/>
          <w:szCs w:val="21"/>
          <w:highlight w:val="none"/>
          <w14:textFill>
            <w14:solidFill>
              <w14:schemeClr w14:val="tx1"/>
            </w14:solidFill>
          </w14:textFill>
        </w:rPr>
        <w:t xml:space="preserve">1000kg</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）水箱容积：≥</w:t>
      </w:r>
      <w:r>
        <w:rPr>
          <w:rFonts w:cs="宋体"/>
          <w:color w:val="000000" w:themeColor="text1"/>
          <w:szCs w:val="21"/>
          <w:highlight w:val="none"/>
          <w14:textFill>
            <w14:solidFill>
              <w14:schemeClr w14:val="tx1"/>
            </w14:solidFill>
          </w14:textFill>
        </w:rPr>
        <w:t xml:space="preserve">950L</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）外形尺寸</w:t>
      </w:r>
      <w:r>
        <w:rPr>
          <w:rFonts w:cs="宋体"/>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长≥</w:t>
      </w:r>
      <w:r>
        <w:rPr>
          <w:rFonts w:cs="宋体"/>
          <w:color w:val="000000" w:themeColor="text1"/>
          <w:szCs w:val="21"/>
          <w:highlight w:val="none"/>
          <w14:textFill>
            <w14:solidFill>
              <w14:schemeClr w14:val="tx1"/>
            </w14:solidFill>
          </w14:textFill>
        </w:rPr>
        <w:t xml:space="preserve">3000mm</w:t>
      </w:r>
      <w:r>
        <w:rPr>
          <w:rFonts w:hint="eastAsia" w:cs="宋体"/>
          <w:color w:val="000000" w:themeColor="text1"/>
          <w:szCs w:val="21"/>
          <w:highlight w:val="none"/>
          <w14:textFill>
            <w14:solidFill>
              <w14:schemeClr w14:val="tx1"/>
            </w14:solidFill>
          </w14:textFill>
        </w:rPr>
        <w:t xml:space="preserve">，宽≥</w:t>
      </w:r>
      <w:r>
        <w:rPr>
          <w:rFonts w:cs="宋体"/>
          <w:color w:val="000000" w:themeColor="text1"/>
          <w:szCs w:val="21"/>
          <w:highlight w:val="none"/>
          <w14:textFill>
            <w14:solidFill>
              <w14:schemeClr w14:val="tx1"/>
            </w14:solidFill>
          </w14:textFill>
        </w:rPr>
        <w:t xml:space="preserve">1000mm</w:t>
      </w:r>
      <w:r>
        <w:rPr>
          <w:rFonts w:hint="eastAsia" w:cs="宋体"/>
          <w:color w:val="000000" w:themeColor="text1"/>
          <w:szCs w:val="21"/>
          <w:highlight w:val="none"/>
          <w14:textFill>
            <w14:solidFill>
              <w14:schemeClr w14:val="tx1"/>
            </w14:solidFill>
          </w14:textFill>
        </w:rPr>
        <w:t xml:space="preserve">，高≥</w:t>
      </w:r>
      <w:r>
        <w:rPr>
          <w:rFonts w:cs="宋体"/>
          <w:color w:val="000000" w:themeColor="text1"/>
          <w:szCs w:val="21"/>
          <w:highlight w:val="none"/>
          <w14:textFill>
            <w14:solidFill>
              <w14:schemeClr w14:val="tx1"/>
            </w14:solidFill>
          </w14:textFill>
        </w:rPr>
        <w:t xml:space="preserve">1500mm</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4</w:t>
      </w:r>
      <w:r>
        <w:rPr>
          <w:rFonts w:hint="eastAsia" w:cs="宋体"/>
          <w:color w:val="000000" w:themeColor="text1"/>
          <w:szCs w:val="21"/>
          <w:highlight w:val="none"/>
          <w14:textFill>
            <w14:solidFill>
              <w14:schemeClr w14:val="tx1"/>
            </w14:solidFill>
          </w14:textFill>
        </w:rPr>
        <w:t xml:space="preserve">）最高行驶速度：≤</w:t>
      </w:r>
      <w:r>
        <w:rPr>
          <w:rFonts w:cs="宋体"/>
          <w:color w:val="000000" w:themeColor="text1"/>
          <w:szCs w:val="21"/>
          <w:highlight w:val="none"/>
          <w14:textFill>
            <w14:solidFill>
              <w14:schemeClr w14:val="tx1"/>
            </w14:solidFill>
          </w14:textFill>
        </w:rPr>
        <w:t xml:space="preserve">30km/h</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5</w:t>
      </w:r>
      <w:r>
        <w:rPr>
          <w:rFonts w:hint="eastAsia" w:cs="宋体"/>
          <w:color w:val="000000" w:themeColor="text1"/>
          <w:szCs w:val="21"/>
          <w:highlight w:val="none"/>
          <w14:textFill>
            <w14:solidFill>
              <w14:schemeClr w14:val="tx1"/>
            </w14:solidFill>
          </w14:textFill>
        </w:rPr>
        <w:t xml:space="preserve">）最小转弯半径：≤</w:t>
      </w:r>
      <w:r>
        <w:rPr>
          <w:rFonts w:cs="宋体"/>
          <w:color w:val="000000" w:themeColor="text1"/>
          <w:szCs w:val="21"/>
          <w:highlight w:val="none"/>
          <w14:textFill>
            <w14:solidFill>
              <w14:schemeClr w14:val="tx1"/>
            </w14:solidFill>
          </w14:textFill>
        </w:rPr>
        <w:t xml:space="preserve">5m</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6</w:t>
      </w:r>
      <w:r>
        <w:rPr>
          <w:rFonts w:hint="eastAsia" w:cs="宋体"/>
          <w:color w:val="000000" w:themeColor="text1"/>
          <w:szCs w:val="21"/>
          <w:highlight w:val="none"/>
          <w14:textFill>
            <w14:solidFill>
              <w14:schemeClr w14:val="tx1"/>
            </w14:solidFill>
          </w14:textFill>
        </w:rPr>
        <w:t xml:space="preserve">）最大爬坡度</w:t>
      </w:r>
      <w:r>
        <w:rPr>
          <w:rFonts w:cs="宋体"/>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空载</w:t>
      </w:r>
      <w:r>
        <w:rPr>
          <w:rFonts w:cs="宋体"/>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&gt;15%</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7</w:t>
      </w:r>
      <w:r>
        <w:rPr>
          <w:rFonts w:hint="eastAsia" w:cs="宋体"/>
          <w:color w:val="000000" w:themeColor="text1"/>
          <w:szCs w:val="21"/>
          <w:highlight w:val="none"/>
          <w14:textFill>
            <w14:solidFill>
              <w14:schemeClr w14:val="tx1"/>
            </w14:solidFill>
          </w14:textFill>
        </w:rPr>
        <w:t xml:space="preserve">）最大制动距离：≤</w:t>
      </w:r>
      <w:r>
        <w:rPr>
          <w:rFonts w:cs="宋体"/>
          <w:color w:val="000000" w:themeColor="text1"/>
          <w:szCs w:val="21"/>
          <w:highlight w:val="none"/>
          <w14:textFill>
            <w14:solidFill>
              <w14:schemeClr w14:val="tx1"/>
            </w14:solidFill>
          </w14:textFill>
        </w:rPr>
        <w:t xml:space="preserve">4m</w:t>
      </w:r>
      <w:r/>
    </w:p>
    <w:p>
      <w:pPr>
        <w:pStyle w:val="876"/>
        <w:ind w:firstLine="0"/>
        <w:rPr>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洗扫车（</w:t>
      </w:r>
      <w:r>
        <w:rPr>
          <w:color w:val="000000" w:themeColor="text1"/>
          <w:highlight w:val="none"/>
          <w14:textFill>
            <w14:solidFill>
              <w14:schemeClr w14:val="tx1"/>
            </w14:solidFill>
          </w14:textFill>
        </w:rPr>
        <w:t xml:space="preserve">18T</w:t>
      </w:r>
      <w:r>
        <w:rPr>
          <w:rFonts w:hint="eastAsia"/>
          <w:color w:val="000000" w:themeColor="text1"/>
          <w:highlight w:val="none"/>
          <w14:textFill>
            <w14:solidFill>
              <w14:schemeClr w14:val="tx1"/>
            </w14:solidFill>
          </w14:textFill>
        </w:rPr>
        <w:t xml:space="preserve">）</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）总质量</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18000kg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）整备质量</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11000kg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）外形尺寸：长≥</w:t>
      </w:r>
      <w:r>
        <w:rPr>
          <w:color w:val="000000" w:themeColor="text1"/>
          <w:highlight w:val="none"/>
          <w14:textFill>
            <w14:solidFill>
              <w14:schemeClr w14:val="tx1"/>
            </w14:solidFill>
          </w14:textFill>
        </w:rPr>
        <w:t xml:space="preserve">8800mm</w:t>
      </w:r>
      <w:r>
        <w:rPr>
          <w:rFonts w:hint="eastAsia"/>
          <w:color w:val="000000" w:themeColor="text1"/>
          <w:highlight w:val="none"/>
          <w14:textFill>
            <w14:solidFill>
              <w14:schemeClr w14:val="tx1"/>
            </w14:solidFill>
          </w14:textFill>
        </w:rPr>
        <w:t xml:space="preserve">，宽≥</w:t>
      </w:r>
      <w:r>
        <w:rPr>
          <w:color w:val="000000" w:themeColor="text1"/>
          <w:highlight w:val="none"/>
          <w14:textFill>
            <w14:solidFill>
              <w14:schemeClr w14:val="tx1"/>
            </w14:solidFill>
          </w14:textFill>
        </w:rPr>
        <w:t xml:space="preserve">2400mm</w:t>
      </w:r>
      <w:r>
        <w:rPr>
          <w:rFonts w:hint="eastAsia"/>
          <w:color w:val="000000" w:themeColor="text1"/>
          <w:highlight w:val="none"/>
          <w14:textFill>
            <w14:solidFill>
              <w14:schemeClr w14:val="tx1"/>
            </w14:solidFill>
          </w14:textFill>
        </w:rPr>
        <w:t xml:space="preserve">，高≥</w:t>
      </w:r>
      <w:r>
        <w:rPr>
          <w:color w:val="000000" w:themeColor="text1"/>
          <w:highlight w:val="none"/>
          <w14:textFill>
            <w14:solidFill>
              <w14:schemeClr w14:val="tx1"/>
            </w14:solidFill>
          </w14:textFill>
        </w:rPr>
        <w:t xml:space="preserve">3000mm</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）垃圾箱容积</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6m</w:t>
      </w:r>
      <w:r>
        <w:rPr>
          <w:rFonts w:hint="eastAsia"/>
          <w:color w:val="000000" w:themeColor="text1"/>
          <w:highlight w:val="none"/>
          <w14:textFill>
            <w14:solidFill>
              <w14:schemeClr w14:val="tx1"/>
            </w14:solidFill>
          </w14:textFill>
        </w:rPr>
        <w:t xml:space="preserve">³</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）清水箱容积</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8mm</w:t>
      </w:r>
      <w:r>
        <w:rPr>
          <w:rFonts w:hint="eastAsia"/>
          <w:color w:val="000000" w:themeColor="text1"/>
          <w:highlight w:val="none"/>
          <w14:textFill>
            <w14:solidFill>
              <w14:schemeClr w14:val="tx1"/>
            </w14:solidFill>
          </w14:textFill>
        </w:rPr>
        <w:t xml:space="preserve">³</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）高压水泵额定压力</w:t>
      </w:r>
      <w:r>
        <w:rPr>
          <w:rFonts w:hint="eastAsia" w:cs="宋体"/>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&gt;10MPa</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（三）洒水车（</w:t>
      </w:r>
      <w:r>
        <w:rPr>
          <w:rFonts w:cs="宋体"/>
          <w:color w:val="000000" w:themeColor="text1"/>
          <w:szCs w:val="21"/>
          <w:highlight w:val="none"/>
          <w14:textFill>
            <w14:solidFill>
              <w14:schemeClr w14:val="tx1"/>
            </w14:solidFill>
          </w14:textFill>
        </w:rPr>
        <w:t xml:space="preserve">18T</w:t>
      </w:r>
      <w:r>
        <w:rPr>
          <w:rFonts w:hint="eastAsia" w:cs="宋体"/>
          <w:color w:val="000000" w:themeColor="text1"/>
          <w:szCs w:val="21"/>
          <w:highlight w:val="none"/>
          <w14:textFill>
            <w14:solidFill>
              <w14:schemeClr w14:val="tx1"/>
            </w14:solidFill>
          </w14:textFill>
        </w:rPr>
        <w:t xml:space="preserve">）</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）总质量</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18000kg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）整备质量</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9000kg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）外形尺寸：长≥</w:t>
      </w:r>
      <w:r>
        <w:rPr>
          <w:color w:val="000000" w:themeColor="text1"/>
          <w:highlight w:val="none"/>
          <w14:textFill>
            <w14:solidFill>
              <w14:schemeClr w14:val="tx1"/>
            </w14:solidFill>
          </w14:textFill>
        </w:rPr>
        <w:t xml:space="preserve">8200mm</w:t>
      </w:r>
      <w:r>
        <w:rPr>
          <w:rFonts w:hint="eastAsia"/>
          <w:color w:val="000000" w:themeColor="text1"/>
          <w:highlight w:val="none"/>
          <w14:textFill>
            <w14:solidFill>
              <w14:schemeClr w14:val="tx1"/>
            </w14:solidFill>
          </w14:textFill>
        </w:rPr>
        <w:t xml:space="preserve">，宽≥</w:t>
      </w:r>
      <w:r>
        <w:rPr>
          <w:color w:val="000000" w:themeColor="text1"/>
          <w:highlight w:val="none"/>
          <w14:textFill>
            <w14:solidFill>
              <w14:schemeClr w14:val="tx1"/>
            </w14:solidFill>
          </w14:textFill>
        </w:rPr>
        <w:t xml:space="preserve">2400mm</w:t>
      </w:r>
      <w:r>
        <w:rPr>
          <w:rFonts w:hint="eastAsia"/>
          <w:color w:val="000000" w:themeColor="text1"/>
          <w:highlight w:val="none"/>
          <w14:textFill>
            <w14:solidFill>
              <w14:schemeClr w14:val="tx1"/>
            </w14:solidFill>
          </w14:textFill>
        </w:rPr>
        <w:t xml:space="preserve">，高≥</w:t>
      </w:r>
      <w:r>
        <w:rPr>
          <w:color w:val="000000" w:themeColor="text1"/>
          <w:highlight w:val="none"/>
          <w14:textFill>
            <w14:solidFill>
              <w14:schemeClr w14:val="tx1"/>
            </w14:solidFill>
          </w14:textFill>
        </w:rPr>
        <w:t xml:space="preserve">2900mm</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）水罐容积：≥</w:t>
      </w:r>
      <w:r>
        <w:rPr>
          <w:color w:val="000000" w:themeColor="text1"/>
          <w:highlight w:val="none"/>
          <w14:textFill>
            <w14:solidFill>
              <w14:schemeClr w14:val="tx1"/>
            </w14:solidFill>
          </w14:textFill>
        </w:rPr>
        <w:t xml:space="preserve">9m</w:t>
      </w:r>
      <w:r>
        <w:rPr>
          <w:rFonts w:hint="eastAsia"/>
          <w:color w:val="000000" w:themeColor="text1"/>
          <w:highlight w:val="none"/>
          <w14:textFill>
            <w14:solidFill>
              <w14:schemeClr w14:val="tx1"/>
            </w14:solidFill>
          </w14:textFill>
        </w:rPr>
        <w:t xml:space="preserve">³</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）冲洗宽度：≥</w:t>
      </w:r>
      <w:r>
        <w:rPr>
          <w:color w:val="000000" w:themeColor="text1"/>
          <w:highlight w:val="none"/>
          <w14:textFill>
            <w14:solidFill>
              <w14:schemeClr w14:val="tx1"/>
            </w14:solidFill>
          </w14:textFill>
        </w:rPr>
        <w:t xml:space="preserve">24</w:t>
      </w:r>
      <w:r/>
    </w:p>
    <w:p>
      <w:pPr>
        <w:pStyle w:val="876"/>
        <w:ind w:firstLine="0"/>
        <w:rPr>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雾泡车（</w:t>
      </w:r>
      <w:r>
        <w:rPr>
          <w:color w:val="000000" w:themeColor="text1"/>
          <w:highlight w:val="none"/>
          <w14:textFill>
            <w14:solidFill>
              <w14:schemeClr w14:val="tx1"/>
            </w14:solidFill>
          </w14:textFill>
        </w:rPr>
        <w:t xml:space="preserve">25T</w:t>
      </w:r>
      <w:r>
        <w:rPr>
          <w:rFonts w:hint="eastAsia"/>
          <w:color w:val="000000" w:themeColor="text1"/>
          <w:highlight w:val="none"/>
          <w14:textFill>
            <w14:solidFill>
              <w14:schemeClr w14:val="tx1"/>
            </w14:solidFill>
          </w14:textFill>
        </w:rPr>
        <w:t xml:space="preserve">）</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）总质量</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25000kg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）整备质量</w:t>
      </w:r>
      <w:r>
        <w:rPr>
          <w:rFonts w:hint="eastAsia" w:cs="宋体"/>
          <w:color w:val="000000" w:themeColor="text1"/>
          <w:szCs w:val="21"/>
          <w:highlight w:val="none"/>
          <w14:textFill>
            <w14:solidFill>
              <w14:schemeClr w14:val="tx1"/>
            </w14:solidFill>
          </w14:textFill>
        </w:rPr>
        <w:t xml:space="preserve">：</w:t>
      </w:r>
      <w:r>
        <w:rPr>
          <w:rFonts w:ascii="Arial" w:hAnsi="Arial" w:cs="Arial"/>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1300</w:t>
      </w:r>
      <w:r>
        <w:rPr>
          <w:rFonts w:hint="eastAsia" w:cs="宋体"/>
          <w:color w:val="000000" w:themeColor="text1"/>
          <w:highlight w:val="none"/>
          <w14:textFill>
            <w14:solidFill>
              <w14:schemeClr w14:val="tx1"/>
            </w14:solidFill>
          </w14:textFill>
        </w:rPr>
        <w:t xml:space="preserve">㎏</w:t>
      </w:r>
      <w:r/>
    </w:p>
    <w:p>
      <w:pPr>
        <w:pStyle w:val="876"/>
        <w:ind w:firstLine="0"/>
        <w:rPr>
          <w:rFonts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）外形尺寸：长≥</w:t>
      </w:r>
      <w:r>
        <w:rPr>
          <w:color w:val="000000" w:themeColor="text1"/>
          <w:highlight w:val="none"/>
          <w14:textFill>
            <w14:solidFill>
              <w14:schemeClr w14:val="tx1"/>
            </w14:solidFill>
          </w14:textFill>
        </w:rPr>
        <w:t xml:space="preserve">9500</w:t>
      </w:r>
      <w:r>
        <w:rPr>
          <w:rFonts w:hint="eastAsia"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，宽≥</w:t>
      </w:r>
      <w:r>
        <w:rPr>
          <w:color w:val="000000" w:themeColor="text1"/>
          <w:highlight w:val="none"/>
          <w14:textFill>
            <w14:solidFill>
              <w14:schemeClr w14:val="tx1"/>
            </w14:solidFill>
          </w14:textFill>
        </w:rPr>
        <w:t xml:space="preserve">2400</w:t>
      </w:r>
      <w:r>
        <w:rPr>
          <w:rFonts w:hint="eastAsia" w:cs="宋体"/>
          <w:color w:val="000000" w:themeColor="text1"/>
          <w:highlight w:val="none"/>
          <w14:textFill>
            <w14:solidFill>
              <w14:schemeClr w14:val="tx1"/>
            </w14:solidFill>
          </w14:textFill>
        </w:rPr>
        <w:t xml:space="preserve">㎜，高</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3500</w:t>
      </w:r>
      <w:r>
        <w:rPr>
          <w:rFonts w:hint="eastAsia" w:cs="宋体"/>
          <w:color w:val="000000" w:themeColor="text1"/>
          <w:highlight w:val="none"/>
          <w14:textFill>
            <w14:solidFill>
              <w14:schemeClr w14:val="tx1"/>
            </w14:solidFill>
          </w14:textFill>
        </w:rPr>
        <w:t xml:space="preserve">㎜</w:t>
      </w:r>
      <w:r/>
    </w:p>
    <w:p>
      <w:pPr>
        <w:pStyle w:val="876"/>
        <w:ind w:firstLine="0"/>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w:t>
      </w:r>
      <w:r>
        <w:rPr>
          <w:rFonts w:cs="宋体"/>
          <w:color w:val="000000" w:themeColor="text1"/>
          <w:highlight w:val="none"/>
          <w14:textFill>
            <w14:solidFill>
              <w14:schemeClr w14:val="tx1"/>
            </w14:solidFill>
          </w14:textFill>
        </w:rPr>
        <w:t xml:space="preserve">4</w:t>
      </w:r>
      <w:r>
        <w:rPr>
          <w:rFonts w:hint="eastAsia" w:cs="宋体"/>
          <w:color w:val="000000" w:themeColor="text1"/>
          <w:highlight w:val="none"/>
          <w14:textFill>
            <w14:solidFill>
              <w14:schemeClr w14:val="tx1"/>
            </w14:solidFill>
          </w14:textFill>
        </w:rPr>
        <w:t xml:space="preserve">）水罐容积：</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12.5m</w:t>
      </w:r>
      <w:r>
        <w:rPr>
          <w:rFonts w:hint="eastAsia"/>
          <w:color w:val="000000" w:themeColor="text1"/>
          <w:highlight w:val="none"/>
          <w14:textFill>
            <w14:solidFill>
              <w14:schemeClr w14:val="tx1"/>
            </w14:solidFill>
          </w14:textFill>
        </w:rPr>
        <w:t xml:space="preserve">³</w:t>
      </w:r>
      <w:r/>
    </w:p>
    <w:p>
      <w:pPr>
        <w:pStyle w:val="876"/>
        <w:ind w:firstLine="0"/>
        <w:rPr>
          <w:rFonts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）风炮射程：≥</w:t>
      </w:r>
      <w:r>
        <w:rPr>
          <w:color w:val="000000" w:themeColor="text1"/>
          <w:highlight w:val="none"/>
          <w14:textFill>
            <w14:solidFill>
              <w14:schemeClr w14:val="tx1"/>
            </w14:solidFill>
          </w14:textFill>
        </w:rPr>
        <w:t xml:space="preserve">120</w:t>
      </w:r>
      <w:r>
        <w:rPr>
          <w:rFonts w:cs="宋体"/>
          <w:color w:val="000000" w:themeColor="text1"/>
          <w:szCs w:val="21"/>
          <w:highlight w:val="none"/>
          <w14:textFill>
            <w14:solidFill>
              <w14:schemeClr w14:val="tx1"/>
            </w14:solidFill>
          </w14:textFill>
        </w:rPr>
        <w:t xml:space="preserve">m</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6</w:t>
      </w:r>
      <w:r>
        <w:rPr>
          <w:rFonts w:hint="eastAsia" w:cs="宋体"/>
          <w:color w:val="000000" w:themeColor="text1"/>
          <w:szCs w:val="21"/>
          <w:highlight w:val="none"/>
          <w14:textFill>
            <w14:solidFill>
              <w14:schemeClr w14:val="tx1"/>
            </w14:solidFill>
          </w14:textFill>
        </w:rPr>
        <w:t xml:space="preserve">）冲洗宽度：</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24</w:t>
      </w:r>
      <w:r>
        <w:rPr>
          <w:rFonts w:cs="宋体"/>
          <w:color w:val="000000" w:themeColor="text1"/>
          <w:szCs w:val="21"/>
          <w:highlight w:val="none"/>
          <w14:textFill>
            <w14:solidFill>
              <w14:schemeClr w14:val="tx1"/>
            </w14:solidFill>
          </w14:textFill>
        </w:rPr>
        <w:t xml:space="preserve">m</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（五）</w:t>
      </w:r>
      <w:r>
        <w:rPr>
          <w:rFonts w:cs="宋体"/>
          <w:color w:val="000000" w:themeColor="text1"/>
          <w:szCs w:val="21"/>
          <w:highlight w:val="none"/>
          <w14:textFill>
            <w14:solidFill>
              <w14:schemeClr w14:val="tx1"/>
            </w14:solidFill>
          </w14:textFill>
        </w:rPr>
        <w:t xml:space="preserve">7m</w:t>
      </w:r>
      <w:r>
        <w:rPr>
          <w:rFonts w:hint="eastAsia" w:cs="宋体"/>
          <w:color w:val="000000" w:themeColor="text1"/>
          <w:szCs w:val="21"/>
          <w:highlight w:val="none"/>
          <w14:textFill>
            <w14:solidFill>
              <w14:schemeClr w14:val="tx1"/>
            </w14:solidFill>
          </w14:textFill>
        </w:rPr>
        <w:t xml:space="preserve">³全密闭收集车</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）整备质量</w:t>
      </w:r>
      <w:r>
        <w:rPr>
          <w:rFonts w:hint="eastAsia" w:cs="宋体"/>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）箱体有效容积</w:t>
      </w:r>
      <w:r>
        <w:rPr>
          <w:rFonts w:hint="eastAsia" w:cs="宋体"/>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7m</w:t>
      </w:r>
      <w:r>
        <w:rPr>
          <w:rFonts w:hint="eastAsia"/>
          <w:color w:val="000000" w:themeColor="text1"/>
          <w:highlight w:val="none"/>
          <w14:textFill>
            <w14:solidFill>
              <w14:schemeClr w14:val="tx1"/>
            </w14:solidFill>
          </w14:textFill>
        </w:rPr>
        <w:t xml:space="preserve">³</w:t>
      </w:r>
      <w:r/>
    </w:p>
    <w:p>
      <w:pPr>
        <w:pStyle w:val="876"/>
        <w:ind w:firstLine="0"/>
        <w:rPr>
          <w:rFonts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外形尺寸：长≥</w:t>
      </w:r>
      <w:r>
        <w:rPr>
          <w:rFonts w:cs="宋体"/>
          <w:color w:val="000000" w:themeColor="text1"/>
          <w:szCs w:val="21"/>
          <w:highlight w:val="none"/>
          <w14:textFill>
            <w14:solidFill>
              <w14:schemeClr w14:val="tx1"/>
            </w14:solidFill>
          </w14:textFill>
        </w:rPr>
        <w:t xml:space="preserve">6800mm</w:t>
      </w:r>
      <w:r>
        <w:rPr>
          <w:rFonts w:hint="eastAsia" w:cs="宋体"/>
          <w:color w:val="000000" w:themeColor="text1"/>
          <w:szCs w:val="21"/>
          <w:highlight w:val="none"/>
          <w14:textFill>
            <w14:solidFill>
              <w14:schemeClr w14:val="tx1"/>
            </w14:solidFill>
          </w14:textFill>
        </w:rPr>
        <w:t xml:space="preserve">×宽≥</w:t>
      </w:r>
      <w:r>
        <w:rPr>
          <w:rFonts w:cs="宋体"/>
          <w:color w:val="000000" w:themeColor="text1"/>
          <w:szCs w:val="21"/>
          <w:highlight w:val="none"/>
          <w14:textFill>
            <w14:solidFill>
              <w14:schemeClr w14:val="tx1"/>
            </w14:solidFill>
          </w14:textFill>
        </w:rPr>
        <w:t xml:space="preserve">2300mm</w:t>
      </w:r>
      <w:r>
        <w:rPr>
          <w:rFonts w:hint="eastAsia" w:cs="宋体"/>
          <w:color w:val="000000" w:themeColor="text1"/>
          <w:szCs w:val="21"/>
          <w:highlight w:val="none"/>
          <w14:textFill>
            <w14:solidFill>
              <w14:schemeClr w14:val="tx1"/>
            </w14:solidFill>
          </w14:textFill>
        </w:rPr>
        <w:t xml:space="preserve">×高≥</w:t>
      </w:r>
      <w:r>
        <w:rPr>
          <w:rFonts w:cs="宋体"/>
          <w:color w:val="000000" w:themeColor="text1"/>
          <w:szCs w:val="21"/>
          <w:highlight w:val="none"/>
          <w14:textFill>
            <w14:solidFill>
              <w14:schemeClr w14:val="tx1"/>
            </w14:solidFill>
          </w14:textFill>
        </w:rPr>
        <w:t xml:space="preserve">2700mm</w:t>
      </w:r>
      <w:r/>
    </w:p>
    <w:p>
      <w:pPr>
        <w:pStyle w:val="876"/>
        <w:ind w:firstLine="0"/>
        <w:rPr>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（六）</w:t>
      </w:r>
      <w:r>
        <w:rPr>
          <w:rFonts w:hint="eastAsia"/>
          <w:color w:val="000000" w:themeColor="text1"/>
          <w:highlight w:val="none"/>
          <w14:textFill>
            <w14:solidFill>
              <w14:schemeClr w14:val="tx1"/>
            </w14:solidFill>
          </w14:textFill>
        </w:rPr>
        <w:t xml:space="preserve">树叶收集车</w:t>
      </w:r>
      <w:r/>
    </w:p>
    <w:p>
      <w:pPr>
        <w:pStyle w:val="876"/>
        <w:ind w:firstLine="0"/>
        <w:rPr>
          <w:rFonts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）电池容量：</w:t>
      </w: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48V/150AH</w:t>
      </w:r>
      <w:r/>
    </w:p>
    <w:p>
      <w:pPr>
        <w:pStyle w:val="876"/>
        <w:ind w:firstLine="0"/>
        <w:rPr>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）容积：≥</w:t>
      </w:r>
      <w:r>
        <w:rPr>
          <w:color w:val="000000" w:themeColor="text1"/>
          <w:highlight w:val="none"/>
          <w14:textFill>
            <w14:solidFill>
              <w14:schemeClr w14:val="tx1"/>
            </w14:solidFill>
          </w14:textFill>
        </w:rPr>
        <w:t xml:space="preserve">2m</w:t>
      </w:r>
      <w:r>
        <w:rPr>
          <w:rFonts w:hint="eastAsia"/>
          <w:color w:val="000000" w:themeColor="text1"/>
          <w:highlight w:val="none"/>
          <w14:textFill>
            <w14:solidFill>
              <w14:schemeClr w14:val="tx1"/>
            </w14:solidFill>
          </w14:textFill>
        </w:rPr>
        <w:t xml:space="preserve">³</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）吸扫宽度：</w:t>
      </w:r>
      <w:r>
        <w:rPr>
          <w:rFonts w:hint="eastAsia" w:cs="宋体"/>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1.5m</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（七）吸污车</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）总质量：</w:t>
      </w:r>
      <w:r>
        <w:rPr>
          <w:rFonts w:hint="eastAsia" w:cs="宋体"/>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14000kg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）车辆容积：</w:t>
      </w:r>
      <w:r>
        <w:rPr>
          <w:rFonts w:hint="eastAsia" w:cs="宋体"/>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3m</w:t>
      </w:r>
      <w:r>
        <w:rPr>
          <w:rFonts w:hint="eastAsia"/>
          <w:color w:val="000000" w:themeColor="text1"/>
          <w:highlight w:val="none"/>
          <w14:textFill>
            <w14:solidFill>
              <w14:schemeClr w14:val="tx1"/>
            </w14:solidFill>
          </w14:textFill>
        </w:rPr>
        <w:t xml:space="preserve">³</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（八）垃圾桶（</w:t>
      </w:r>
      <w:r>
        <w:rPr>
          <w:rFonts w:cs="宋体"/>
          <w:color w:val="000000" w:themeColor="text1"/>
          <w:szCs w:val="21"/>
          <w:highlight w:val="none"/>
          <w14:textFill>
            <w14:solidFill>
              <w14:schemeClr w14:val="tx1"/>
            </w14:solidFill>
          </w14:textFill>
        </w:rPr>
        <w:t xml:space="preserve">240L</w:t>
      </w:r>
      <w:r>
        <w:rPr>
          <w:rFonts w:hint="eastAsia" w:cs="宋体"/>
          <w:color w:val="000000" w:themeColor="text1"/>
          <w:szCs w:val="21"/>
          <w:highlight w:val="none"/>
          <w14:textFill>
            <w14:solidFill>
              <w14:schemeClr w14:val="tx1"/>
            </w14:solidFill>
          </w14:textFill>
        </w:rPr>
        <w:t xml:space="preserve">）</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1</w:t>
      </w:r>
      <w:r>
        <w:rPr>
          <w:rFonts w:hint="eastAsia" w:cs="宋体"/>
          <w:color w:val="000000" w:themeColor="text1"/>
          <w:szCs w:val="21"/>
          <w:highlight w:val="none"/>
          <w14:textFill>
            <w14:solidFill>
              <w14:schemeClr w14:val="tx1"/>
            </w14:solidFill>
          </w14:textFill>
        </w:rPr>
        <w:t xml:space="preserve">）材质：</w:t>
      </w:r>
      <w:r>
        <w:rPr>
          <w:rFonts w:cs="宋体"/>
          <w:color w:val="000000" w:themeColor="text1"/>
          <w:szCs w:val="21"/>
          <w:highlight w:val="none"/>
          <w14:textFill>
            <w14:solidFill>
              <w14:schemeClr w14:val="tx1"/>
            </w14:solidFill>
          </w14:textFill>
        </w:rPr>
        <w:t xml:space="preserve">100%</w:t>
      </w:r>
      <w:r>
        <w:rPr>
          <w:rFonts w:hint="eastAsia" w:cs="宋体"/>
          <w:color w:val="000000" w:themeColor="text1"/>
          <w:szCs w:val="21"/>
          <w:highlight w:val="none"/>
          <w14:textFill>
            <w14:solidFill>
              <w14:schemeClr w14:val="tx1"/>
            </w14:solidFill>
          </w14:textFill>
        </w:rPr>
        <w:t xml:space="preserve">高密度聚乙烯（</w:t>
      </w:r>
      <w:r>
        <w:rPr>
          <w:rFonts w:cs="宋体"/>
          <w:color w:val="000000" w:themeColor="text1"/>
          <w:szCs w:val="21"/>
          <w:highlight w:val="none"/>
          <w14:textFill>
            <w14:solidFill>
              <w14:schemeClr w14:val="tx1"/>
            </w14:solidFill>
          </w14:textFill>
        </w:rPr>
        <w:t xml:space="preserve">HDPE</w:t>
      </w:r>
      <w:r>
        <w:rPr>
          <w:rFonts w:hint="eastAsia" w:cs="宋体"/>
          <w:color w:val="000000" w:themeColor="text1"/>
          <w:szCs w:val="21"/>
          <w:highlight w:val="none"/>
          <w14:textFill>
            <w14:solidFill>
              <w14:schemeClr w14:val="tx1"/>
            </w14:solidFill>
          </w14:textFill>
        </w:rPr>
        <w:t xml:space="preserve">）</w:t>
      </w:r>
      <w:r/>
    </w:p>
    <w:p>
      <w:pPr>
        <w:pStyle w:val="876"/>
        <w:ind w:firstLine="0"/>
        <w:rPr>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）桶身净重量：</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10.5Kg(</w:t>
      </w:r>
      <w:r>
        <w:rPr>
          <w:rFonts w:hint="eastAsia"/>
          <w:color w:val="000000" w:themeColor="text1"/>
          <w:highlight w:val="none"/>
          <w14:textFill>
            <w14:solidFill>
              <w14:schemeClr w14:val="tx1"/>
            </w14:solidFill>
          </w14:textFill>
        </w:rPr>
        <w:t xml:space="preserve">不含盖、轴、轮</w:t>
      </w:r>
      <w:r>
        <w:rPr>
          <w:color w:val="000000" w:themeColor="text1"/>
          <w:highlight w:val="none"/>
          <w14:textFill>
            <w14:solidFill>
              <w14:schemeClr w14:val="tx1"/>
            </w14:solidFill>
          </w14:textFill>
        </w:rPr>
        <w:t xml:space="preserve">)</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）桶体壁厚</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5.9mm</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）桶底厚度</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6.6mm</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）滚轮：橡胶材质，直径≥</w:t>
      </w:r>
      <w:r>
        <w:rPr>
          <w:color w:val="000000" w:themeColor="text1"/>
          <w:highlight w:val="none"/>
          <w14:textFill>
            <w14:solidFill>
              <w14:schemeClr w14:val="tx1"/>
            </w14:solidFill>
          </w14:textFill>
        </w:rPr>
        <w:t xml:space="preserve">19cm,</w:t>
      </w:r>
      <w:r>
        <w:rPr>
          <w:rFonts w:hint="eastAsia"/>
          <w:color w:val="000000" w:themeColor="text1"/>
          <w:highlight w:val="none"/>
          <w14:textFill>
            <w14:solidFill>
              <w14:schemeClr w14:val="tx1"/>
            </w14:solidFill>
          </w14:textFill>
        </w:rPr>
        <w:t xml:space="preserve">承载力≥</w:t>
      </w:r>
      <w:r>
        <w:rPr>
          <w:color w:val="000000" w:themeColor="text1"/>
          <w:highlight w:val="none"/>
          <w14:textFill>
            <w14:solidFill>
              <w14:schemeClr w14:val="tx1"/>
            </w14:solidFill>
          </w14:textFill>
        </w:rPr>
        <w:t xml:space="preserve">150Kg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）轮轴：</w:t>
      </w:r>
      <w:r>
        <w:rPr>
          <w:color w:val="000000" w:themeColor="text1"/>
          <w:highlight w:val="none"/>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中碳钢实心轴，表面电镀锌防锈</w:t>
      </w:r>
      <w:r/>
    </w:p>
    <w:p>
      <w:pPr>
        <w:ind w:firstLine="422"/>
        <w:spacing w:line="360" w:lineRule="auto"/>
        <w:rPr>
          <w:rFonts w:asci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六、其他要求：</w:t>
      </w:r>
      <w:r/>
    </w:p>
    <w:p>
      <w:pPr>
        <w:ind w:firstLine="420"/>
        <w:spacing w:line="360" w:lineRule="auto"/>
        <w:tabs>
          <w:tab w:val="left" w:pos="7770" w:leader="none"/>
        </w:tabs>
        <w:rPr>
          <w:rFonts w:ascii="宋体" w:cs="宋体"/>
          <w:i/>
          <w:iCs/>
          <w:color w:val="000000" w:themeColor="text1"/>
          <w:szCs w:val="21"/>
          <w:highlight w:val="none"/>
          <w:u w:val="single"/>
          <w14:textFill>
            <w14:solidFill>
              <w14:schemeClr w14:val="tx1"/>
            </w14:solidFill>
          </w14:textFill>
        </w:rPr>
      </w:pPr>
      <w:r>
        <w:rPr>
          <w:rFonts w:ascii="宋体" w:hAnsi="宋体" w:cs="宋体"/>
          <w:i/>
          <w:iCs/>
          <w:color w:val="000000" w:themeColor="text1"/>
          <w:szCs w:val="21"/>
          <w:highlight w:val="none"/>
          <w:u w:val="single"/>
          <w14:textFill>
            <w14:solidFill>
              <w14:schemeClr w14:val="tx1"/>
            </w14:solidFill>
          </w14:textFill>
        </w:rPr>
        <w:t xml:space="preserve">6.1</w:t>
      </w:r>
      <w:r>
        <w:rPr>
          <w:rFonts w:hint="eastAsia" w:ascii="宋体" w:hAnsi="宋体" w:cs="宋体"/>
          <w:i/>
          <w:iCs/>
          <w:color w:val="000000" w:themeColor="text1"/>
          <w:szCs w:val="21"/>
          <w:highlight w:val="none"/>
          <w:u w:val="single"/>
          <w14:textFill>
            <w14:solidFill>
              <w14:schemeClr w14:val="tx1"/>
            </w14:solidFill>
          </w14:textFill>
        </w:rPr>
        <w:t xml:space="preserve">环卫工人工资的要求按照《关于建立环卫工人工资专用账户的通知》，投标人必须为本项目建立环卫工人工资专用账户。（提供建立环卫工人工资专用账户承诺函原件上传，格式自拟）</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6.2 </w:t>
      </w:r>
      <w:r>
        <w:rPr>
          <w:rFonts w:hint="eastAsia" w:ascii="宋体" w:hAnsi="宋体" w:cs="宋体"/>
          <w:color w:val="000000" w:themeColor="text1"/>
          <w:szCs w:val="21"/>
          <w:highlight w:val="none"/>
          <w14:textFill>
            <w14:solidFill>
              <w14:schemeClr w14:val="tx1"/>
            </w14:solidFill>
          </w14:textFill>
        </w:rPr>
        <w:t xml:space="preserve">采购人不提供中标供应商作业人员的食宿。</w:t>
      </w:r>
      <w:r/>
    </w:p>
    <w:p>
      <w:pPr>
        <w:pStyle w:val="876"/>
        <w:ind w:firstLine="420"/>
        <w:rPr>
          <w:color w:val="000000" w:themeColor="text1"/>
          <w:highlight w:val="none"/>
          <w14:textFill>
            <w14:solidFill>
              <w14:schemeClr w14:val="tx1"/>
            </w14:solidFill>
          </w14:textFill>
        </w:rPr>
      </w:pPr>
      <w:r>
        <w:rPr>
          <w:rFonts w:cs="宋体"/>
          <w:color w:val="000000" w:themeColor="text1"/>
          <w:szCs w:val="21"/>
          <w:highlight w:val="none"/>
          <w14:textFill>
            <w14:solidFill>
              <w14:schemeClr w14:val="tx1"/>
            </w14:solidFill>
          </w14:textFill>
        </w:rPr>
        <w:t xml:space="preserve">6.3</w:t>
      </w:r>
      <w:r>
        <w:rPr>
          <w:rFonts w:hint="eastAsia" w:cs="宋体"/>
          <w:color w:val="000000" w:themeColor="text1"/>
          <w:szCs w:val="21"/>
          <w:highlight w:val="none"/>
          <w14:textFill>
            <w14:solidFill>
              <w14:schemeClr w14:val="tx1"/>
            </w14:solidFill>
          </w14:textFill>
        </w:rPr>
        <w:t xml:space="preserve">项目运营中所涉及的所有矛盾中标供应商自行协调。</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6.4 </w:t>
      </w:r>
      <w:r>
        <w:rPr>
          <w:rFonts w:hint="eastAsia" w:ascii="宋体" w:hAnsi="宋体" w:cs="宋体"/>
          <w:color w:val="000000" w:themeColor="text1"/>
          <w:szCs w:val="21"/>
          <w:highlight w:val="none"/>
          <w14:textFill>
            <w14:solidFill>
              <w14:schemeClr w14:val="tx1"/>
            </w14:solidFill>
          </w14:textFill>
        </w:rPr>
        <w:t xml:space="preserve">中标供应商配置设备的费用均包含在本次投标报价中，采购人不在另行支付。</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6.5</w:t>
      </w:r>
      <w:r>
        <w:rPr>
          <w:rFonts w:hint="eastAsia" w:ascii="宋体" w:hAnsi="宋体" w:cs="宋体"/>
          <w:color w:val="000000" w:themeColor="text1"/>
          <w:szCs w:val="21"/>
          <w:highlight w:val="none"/>
          <w14:textFill>
            <w14:solidFill>
              <w14:schemeClr w14:val="tx1"/>
            </w14:solidFill>
          </w14:textFill>
        </w:rPr>
        <w:t xml:space="preserve">垃圾中转站的设备维修费、除臭设备维护（更新）费、除臭药剂费、卷帘门维修（更新）费、水电设施维修（更换）费、水电费、渗滤液处置等均包含在本次投标报价中，采购人不在另行支付。</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6.6 </w:t>
      </w:r>
      <w:r>
        <w:rPr>
          <w:rFonts w:hint="eastAsia" w:ascii="宋体" w:hAnsi="宋体" w:cs="宋体"/>
          <w:color w:val="000000" w:themeColor="text1"/>
          <w:szCs w:val="21"/>
          <w:highlight w:val="none"/>
          <w14:textFill>
            <w14:solidFill>
              <w14:schemeClr w14:val="tx1"/>
            </w14:solidFill>
          </w14:textFill>
        </w:rPr>
        <w:t xml:space="preserve">公厕水电费、设施维修，果壳箱维修费，垃圾容器补缺。更换，分类亭标牌标识补缺等均包含在本次投标报价中，采购人不另行支付。</w:t>
      </w:r>
      <w:r/>
    </w:p>
    <w:p>
      <w:pPr>
        <w:ind w:firstLine="420"/>
        <w:spacing w:line="360" w:lineRule="auto"/>
        <w:tabs>
          <w:tab w:val="left" w:pos="7770"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6.7 </w:t>
      </w:r>
      <w:r>
        <w:rPr>
          <w:rFonts w:hint="eastAsia" w:ascii="宋体" w:hAnsi="宋体" w:cs="宋体"/>
          <w:color w:val="000000" w:themeColor="text1"/>
          <w:szCs w:val="21"/>
          <w:highlight w:val="none"/>
          <w14:textFill>
            <w14:solidFill>
              <w14:schemeClr w14:val="tx1"/>
            </w14:solidFill>
          </w14:textFill>
        </w:rPr>
        <w:t xml:space="preserve">中标供应商在确保作业质量的情况下，如中标后优化作业方案，在实施运作过程中，作业人数不低于中标人员</w:t>
      </w:r>
      <w:r>
        <w:rPr>
          <w:rFonts w:ascii="宋体" w:hAnsi="宋体" w:cs="宋体"/>
          <w:color w:val="000000" w:themeColor="text1"/>
          <w:szCs w:val="21"/>
          <w:highlight w:val="none"/>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，实行部分机械化作业替代人工作业（减少作业人数），该方案经采购人同意后方可实施。</w:t>
      </w:r>
      <w:r>
        <w:rPr>
          <w:rFonts w:ascii="宋体" w:hAnsi="宋体" w:cs="宋体"/>
          <w:color w:val="000000" w:themeColor="text1"/>
          <w:szCs w:val="21"/>
          <w:highlight w:val="none"/>
          <w14:textFill>
            <w14:solidFill>
              <w14:schemeClr w14:val="tx1"/>
            </w14:solidFill>
          </w14:textFill>
        </w:rPr>
        <w:t xml:space="preserve">                                        </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6.8</w:t>
      </w:r>
      <w:r>
        <w:rPr>
          <w:rFonts w:hint="eastAsia" w:ascii="宋体" w:hAnsi="宋体" w:cs="宋体"/>
          <w:color w:val="000000" w:themeColor="text1"/>
          <w:szCs w:val="21"/>
          <w:highlight w:val="none"/>
          <w14:textFill>
            <w14:solidFill>
              <w14:schemeClr w14:val="tx1"/>
            </w14:solidFill>
          </w14:textFill>
        </w:rPr>
        <w:t xml:space="preserve">中标供应商的工作人员发生违法、违规行为的，所造成一切后果及损失，由中标供应商承担一切责任。</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6.9 </w:t>
      </w:r>
      <w:r>
        <w:rPr>
          <w:rFonts w:hint="eastAsia" w:ascii="宋体" w:hAnsi="宋体" w:cs="宋体"/>
          <w:color w:val="000000" w:themeColor="text1"/>
          <w:szCs w:val="21"/>
          <w:highlight w:val="none"/>
          <w14:textFill>
            <w14:solidFill>
              <w14:schemeClr w14:val="tx1"/>
            </w14:solidFill>
          </w14:textFill>
        </w:rPr>
        <w:t xml:space="preserve">未经采购人同意，中标供应商不得对市政道路的设施及布置作变更。</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6.10</w:t>
      </w:r>
      <w:r>
        <w:rPr>
          <w:rFonts w:hint="eastAsia" w:ascii="宋体" w:hAnsi="宋体" w:cs="宋体"/>
          <w:color w:val="000000" w:themeColor="text1"/>
          <w:szCs w:val="21"/>
          <w:highlight w:val="none"/>
          <w14:textFill>
            <w14:solidFill>
              <w14:schemeClr w14:val="tx1"/>
            </w14:solidFill>
          </w14:textFill>
        </w:rPr>
        <w:t xml:space="preserve">服务期间发生各种事故：包括治安、交通、消防和劳务纠纷等事件均由中标供应商承担一切责任。</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6.11</w:t>
      </w:r>
      <w:r>
        <w:rPr>
          <w:rFonts w:hint="eastAsia" w:ascii="宋体" w:hAnsi="宋体" w:cs="宋体"/>
          <w:color w:val="000000" w:themeColor="text1"/>
          <w:szCs w:val="21"/>
          <w:highlight w:val="none"/>
          <w14:textFill>
            <w14:solidFill>
              <w14:schemeClr w14:val="tx1"/>
            </w14:solidFill>
          </w14:textFill>
        </w:rPr>
        <w:t xml:space="preserve">采购人有权以会议形式召集中标供应商研究工作和通报情况。中标供应商需按通知要求出席会议。</w:t>
      </w:r>
      <w:r/>
    </w:p>
    <w:p>
      <w:pPr>
        <w:ind w:firstLine="420"/>
        <w:spacing w:line="360" w:lineRule="auto"/>
        <w:rPr>
          <w:rFonts w:ascii="宋体" w:cs="宋体"/>
          <w:color w:val="000000" w:themeColor="text1"/>
          <w:szCs w:val="21"/>
          <w:highlight w:val="none"/>
          <w14:textFill>
            <w14:solidFill>
              <w14:schemeClr w14:val="tx1"/>
            </w14:solidFill>
          </w14:textFill>
        </w:rPr>
        <w:outlineLvl w:val="1"/>
      </w:pPr>
      <w:r>
        <w:rPr>
          <w:rFonts w:ascii="宋体" w:hAnsi="宋体" w:cs="宋体"/>
          <w:color w:val="000000" w:themeColor="text1"/>
          <w:szCs w:val="21"/>
          <w:highlight w:val="none"/>
          <w14:textFill>
            <w14:solidFill>
              <w14:schemeClr w14:val="tx1"/>
            </w14:solidFill>
          </w14:textFill>
        </w:rPr>
        <w:t xml:space="preserve">6.12</w:t>
      </w:r>
      <w:r>
        <w:rPr>
          <w:rFonts w:hint="eastAsia" w:ascii="宋体" w:hAnsi="宋体" w:cs="宋体"/>
          <w:color w:val="000000" w:themeColor="text1"/>
          <w:szCs w:val="21"/>
          <w:highlight w:val="none"/>
          <w14:textFill>
            <w14:solidFill>
              <w14:schemeClr w14:val="tx1"/>
            </w14:solidFill>
          </w14:textFill>
        </w:rPr>
        <w:t xml:space="preserve">中标供应商负责做好市、区、采购人布置的临时性环境卫生保障任务（含各类创建、迎检、重大活动、自然灾害、服务范围外路段等），有特殊任务需要紧急临时增加人员投入时，中标供应商及其员工需无条件服从采购人的调遣和指挥并参与应急或加班工作。因其他因素导致作业量增加的，不论这些因素是可预测或不可预测的，均已包含在投标报价中。</w:t>
      </w:r>
      <w:r/>
    </w:p>
    <w:p>
      <w:pPr>
        <w:ind w:firstLine="422"/>
        <w:spacing w:line="360" w:lineRule="auto"/>
        <w:tabs>
          <w:tab w:val="left" w:pos="7770" w:leader="none"/>
        </w:tabs>
        <w:rPr>
          <w:rFonts w:ascii="宋体" w:cs="宋体"/>
          <w:b/>
          <w:bCs/>
          <w:color w:val="000000" w:themeColor="text1"/>
          <w:szCs w:val="21"/>
          <w:highlight w:val="none"/>
          <w14:textFill>
            <w14:solidFill>
              <w14:schemeClr w14:val="tx1"/>
            </w14:solidFill>
          </w14:textFill>
        </w:rPr>
        <w:outlineLvl w:val="1"/>
      </w:pPr>
      <w:r>
        <w:rPr>
          <w:rFonts w:ascii="宋体" w:hAnsi="宋体" w:cs="宋体"/>
          <w:b/>
          <w:bCs/>
          <w:color w:val="000000" w:themeColor="text1"/>
          <w:szCs w:val="21"/>
          <w:highlight w:val="none"/>
          <w14:textFill>
            <w14:solidFill>
              <w14:schemeClr w14:val="tx1"/>
            </w14:solidFill>
          </w14:textFill>
        </w:rPr>
        <w:t xml:space="preserve">6.13</w:t>
      </w:r>
      <w:r>
        <w:rPr>
          <w:rFonts w:hint="eastAsia" w:ascii="宋体" w:hAnsi="宋体" w:cs="宋体"/>
          <w:b/>
          <w:bCs/>
          <w:color w:val="000000" w:themeColor="text1"/>
          <w:szCs w:val="21"/>
          <w:highlight w:val="none"/>
          <w14:textFill>
            <w14:solidFill>
              <w14:schemeClr w14:val="tx1"/>
            </w14:solidFill>
          </w14:textFill>
        </w:rPr>
        <w:t xml:space="preserve">违约责任</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中标供应商不得将江都区大桥镇环卫一体化市场化项目转包，也不得以任何形式将江都区大桥镇环卫一体化市场项目分包，否则，将视为中标供应商严重违约，采购人有权上报财政监管部门并有权追偿由此给采购人造成的经济损失。</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在执行临时性、阶段性特殊任务（含国家、省、市检查，突击整治，重大活动等）期间，中标供应商的作业质量未能达到服务要求，采购人可扣减中标供应商当月的服务经费。</w:t>
      </w:r>
      <w:r/>
    </w:p>
    <w:p>
      <w:pPr>
        <w:ind w:firstLine="420"/>
        <w:rPr>
          <w:rFonts w:asci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服务期间，如因中标供应商在本服务项目范围内违法法律、法规及国家有关政策而受到政府有关部门的处分、处罚，而无法继续履行合同的，采购人有权上报财政监管部门，不承担任何法律责任及经济补偿。</w:t>
      </w:r>
      <w:r/>
    </w:p>
    <w:p>
      <w:pPr>
        <w:pStyle w:val="811"/>
        <w:ind w:firstLine="420"/>
        <w:rPr>
          <w:rFonts w:ascii="宋体" w:cs="宋体"/>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2"/>
          <w:highlight w:val="none"/>
          <w:lang w:val="en-US" w:eastAsia="zh-CN" w:bidi="ar-SA"/>
          <w14:textFill>
            <w14:solidFill>
              <w14:schemeClr w14:val="tx1"/>
            </w14:solidFill>
          </w14:textFill>
        </w:rPr>
        <w:t xml:space="preserve">（4）</w:t>
      </w:r>
      <w:r>
        <w:rPr>
          <w:rFonts w:hint="eastAsia" w:ascii="宋体" w:cs="宋体"/>
          <w:color w:val="000000" w:themeColor="text1"/>
          <w:sz w:val="21"/>
          <w:szCs w:val="21"/>
          <w:highlight w:val="none"/>
          <w14:textFill>
            <w14:solidFill>
              <w14:schemeClr w14:val="tx1"/>
            </w14:solidFill>
          </w14:textFill>
        </w:rPr>
        <w:t xml:space="preserve">服务期间，双方需严格履行合同；在执行过程中，如遇未尽事宜，双方可协商解决，经协商达成一致的需签订书面协议作为主合同的补充。</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停车场地由中标供应商在合同签订前自行解决，并配备相关清洗设施。位置要求在大桥镇范围内，需是非耕种用地。所需的费用全部计入投标总价。</w:t>
      </w:r>
      <w:r/>
    </w:p>
    <w:p>
      <w:pPr>
        <w:ind w:firstLine="422"/>
        <w:spacing w:line="360" w:lineRule="auto"/>
        <w:rPr>
          <w:rFonts w:ascii="宋体" w:cs="宋体"/>
          <w:b/>
          <w:bCs/>
          <w:color w:val="000000" w:themeColor="text1"/>
          <w:szCs w:val="21"/>
          <w:highlight w:val="none"/>
          <w14:textFill>
            <w14:solidFill>
              <w14:schemeClr w14:val="tx1"/>
            </w14:solidFill>
          </w14:textFill>
        </w:rPr>
        <w:outlineLvl w:val="1"/>
      </w:pPr>
      <w:r>
        <w:rPr>
          <w:rFonts w:ascii="宋体" w:cs="宋体"/>
          <w:b/>
          <w:bCs/>
          <w:color w:val="000000" w:themeColor="text1"/>
          <w:szCs w:val="21"/>
          <w:highlight w:val="none"/>
          <w14:textFill>
            <w14:solidFill>
              <w14:schemeClr w14:val="tx1"/>
            </w14:solidFill>
          </w14:textFill>
        </w:rPr>
      </w:r>
      <w:r/>
    </w:p>
    <w:p>
      <w:pPr>
        <w:ind w:firstLine="422"/>
        <w:spacing w:line="360" w:lineRule="auto"/>
        <w:rPr>
          <w:rFonts w:ascii="宋体" w:cs="宋体"/>
          <w:b/>
          <w:bCs/>
          <w:color w:val="000000" w:themeColor="text1"/>
          <w:szCs w:val="21"/>
          <w:highlight w:val="none"/>
          <w14:textFill>
            <w14:solidFill>
              <w14:schemeClr w14:val="tx1"/>
            </w14:solidFill>
          </w14:textFill>
        </w:rPr>
        <w:outlineLvl w:val="1"/>
      </w:pPr>
      <w:r>
        <w:rPr>
          <w:rFonts w:ascii="宋体" w:cs="宋体"/>
          <w:b/>
          <w:bCs/>
          <w:color w:val="000000" w:themeColor="text1"/>
          <w:szCs w:val="21"/>
          <w:highlight w:val="none"/>
          <w14:textFill>
            <w14:solidFill>
              <w14:schemeClr w14:val="tx1"/>
            </w14:solidFill>
          </w14:textFill>
        </w:rPr>
      </w:r>
      <w:r/>
    </w:p>
    <w:p>
      <w:pPr>
        <w:spacing w:line="360" w:lineRule="auto"/>
        <w:rPr>
          <w:rFonts w:ascii="宋体" w:cs="宋体"/>
          <w:b/>
          <w:bCs/>
          <w:color w:val="000000" w:themeColor="text1"/>
          <w:szCs w:val="21"/>
          <w:highlight w:val="none"/>
          <w14:textFill>
            <w14:solidFill>
              <w14:schemeClr w14:val="tx1"/>
            </w14:solidFill>
          </w14:textFill>
        </w:rPr>
        <w:sectPr>
          <w:footerReference w:type="default" r:id="rId11"/>
          <w:footnotePr/>
          <w:endnotePr/>
          <w:type w:val="nextPage"/>
          <w:pgSz w:w="11906" w:h="16839" w:orient="portrait"/>
          <w:pgMar w:top="1185" w:right="1185" w:bottom="1242" w:left="1185" w:header="0" w:footer="1023" w:gutter="0"/>
          <w:cols w:num="1" w:sep="0" w:space="720" w:equalWidth="1"/>
          <w:docGrid w:linePitch="360"/>
        </w:sectPr>
        <w:outlineLvl w:val="1"/>
      </w:pPr>
      <w:r>
        <w:rPr>
          <w:rFonts w:ascii="宋体" w:cs="宋体"/>
          <w:b/>
          <w:bCs/>
          <w:color w:val="000000" w:themeColor="text1"/>
          <w:szCs w:val="21"/>
          <w:highlight w:val="none"/>
          <w14:textFill>
            <w14:solidFill>
              <w14:schemeClr w14:val="tx1"/>
            </w14:solidFill>
          </w14:textFill>
        </w:rPr>
      </w:r>
      <w:r/>
    </w:p>
    <w:p>
      <w:pPr>
        <w:spacing w:line="360" w:lineRule="auto"/>
        <w:rPr>
          <w:rFonts w:asci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七、包</w:t>
      </w:r>
      <w:r>
        <w:rPr>
          <w:rFonts w:ascii="宋体" w:hAnsi="宋体" w:cs="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14:textFill>
            <w14:solidFill>
              <w14:schemeClr w14:val="tx1"/>
            </w14:solidFill>
          </w14:textFill>
        </w:rPr>
        <w:t xml:space="preserve">评估细则</w:t>
      </w:r>
      <w:r/>
    </w:p>
    <w:p>
      <w:pPr>
        <w:pStyle w:val="811"/>
        <w:ind w:firstLine="420"/>
        <w:spacing w:line="360" w:lineRule="auto"/>
        <w:rPr>
          <w:rFonts w:ascii="宋体" w:cs="宋体"/>
          <w:color w:val="000000" w:themeColor="text1"/>
          <w:sz w:val="21"/>
          <w:szCs w:val="21"/>
          <w:highlight w:val="none"/>
          <w14:textFill>
            <w14:solidFill>
              <w14:schemeClr w14:val="tx1"/>
            </w14:solidFill>
          </w14:textFill>
        </w:rPr>
      </w:pPr>
      <w:r/>
      <w:bookmarkStart w:id="41" w:name="_Toc10501"/>
      <w:r/>
      <w:bookmarkStart w:id="42" w:name="_Toc19362"/>
      <w:r>
        <w:rPr>
          <w:rFonts w:hint="eastAsia" w:ascii="宋体" w:hAnsi="宋体" w:cs="宋体"/>
          <w:color w:val="000000" w:themeColor="text1"/>
          <w:sz w:val="21"/>
          <w:szCs w:val="21"/>
          <w:highlight w:val="none"/>
          <w14:textFill>
            <w14:solidFill>
              <w14:schemeClr w14:val="tx1"/>
            </w14:solidFill>
          </w14:textFill>
        </w:rPr>
        <w:t xml:space="preserve">本项目评估采用百分考核制，每月根据考核结果支付相应作业费用，得分≥</w:t>
      </w:r>
      <w:r>
        <w:rPr>
          <w:rFonts w:ascii="宋体" w:hAnsi="宋体" w:cs="宋体"/>
          <w:color w:val="000000" w:themeColor="text1"/>
          <w:sz w:val="21"/>
          <w:szCs w:val="21"/>
          <w:highlight w:val="none"/>
          <w14:textFill>
            <w14:solidFill>
              <w14:schemeClr w14:val="tx1"/>
            </w14:solidFill>
          </w14:textFill>
        </w:rPr>
        <w:t xml:space="preserve">90</w:t>
      </w:r>
      <w:r>
        <w:rPr>
          <w:rFonts w:hint="eastAsia" w:ascii="宋体" w:hAnsi="宋体" w:cs="宋体"/>
          <w:color w:val="000000" w:themeColor="text1"/>
          <w:sz w:val="21"/>
          <w:szCs w:val="21"/>
          <w:highlight w:val="none"/>
          <w14:textFill>
            <w14:solidFill>
              <w14:schemeClr w14:val="tx1"/>
            </w14:solidFill>
          </w14:textFill>
        </w:rPr>
        <w:t xml:space="preserve">分全额支付；</w:t>
      </w:r>
      <w:r>
        <w:rPr>
          <w:rFonts w:ascii="宋体" w:hAnsi="宋体" w:cs="宋体"/>
          <w:color w:val="000000" w:themeColor="text1"/>
          <w:sz w:val="21"/>
          <w:szCs w:val="21"/>
          <w:highlight w:val="none"/>
          <w14:textFill>
            <w14:solidFill>
              <w14:schemeClr w14:val="tx1"/>
            </w14:solidFill>
          </w14:textFill>
        </w:rPr>
        <w:t xml:space="preserve">85</w:t>
      </w:r>
      <w:r>
        <w:rPr>
          <w:rFonts w:hint="eastAsia" w:ascii="宋体" w:hAnsi="宋体" w:cs="宋体"/>
          <w:color w:val="000000" w:themeColor="text1"/>
          <w:sz w:val="21"/>
          <w:szCs w:val="21"/>
          <w:highlight w:val="none"/>
          <w14:textFill>
            <w14:solidFill>
              <w14:schemeClr w14:val="tx1"/>
            </w14:solidFill>
          </w14:textFill>
        </w:rPr>
        <w:t xml:space="preserve">分≤得分＜</w:t>
      </w:r>
      <w:r>
        <w:rPr>
          <w:rFonts w:ascii="宋体" w:hAnsi="宋体" w:cs="宋体"/>
          <w:color w:val="000000" w:themeColor="text1"/>
          <w:sz w:val="21"/>
          <w:szCs w:val="21"/>
          <w:highlight w:val="none"/>
          <w14:textFill>
            <w14:solidFill>
              <w14:schemeClr w14:val="tx1"/>
            </w14:solidFill>
          </w14:textFill>
        </w:rPr>
        <w:t xml:space="preserve">90</w:t>
      </w:r>
      <w:r>
        <w:rPr>
          <w:rFonts w:hint="eastAsia" w:ascii="宋体" w:hAnsi="宋体" w:cs="宋体"/>
          <w:color w:val="000000" w:themeColor="text1"/>
          <w:sz w:val="21"/>
          <w:szCs w:val="21"/>
          <w:highlight w:val="none"/>
          <w14:textFill>
            <w14:solidFill>
              <w14:schemeClr w14:val="tx1"/>
            </w14:solidFill>
          </w14:textFill>
        </w:rPr>
        <w:t xml:space="preserve">分，每一分扣</w:t>
      </w:r>
      <w:r>
        <w:rPr>
          <w:rFonts w:ascii="宋体" w:hAnsi="宋体" w:cs="宋体"/>
          <w:color w:val="000000" w:themeColor="text1"/>
          <w:sz w:val="21"/>
          <w:szCs w:val="21"/>
          <w:highlight w:val="none"/>
          <w14:textFill>
            <w14:solidFill>
              <w14:schemeClr w14:val="tx1"/>
            </w14:solidFill>
          </w14:textFill>
        </w:rPr>
        <w:t xml:space="preserve">2000</w:t>
      </w:r>
      <w:r>
        <w:rPr>
          <w:rFonts w:hint="eastAsia" w:ascii="宋体" w:hAnsi="宋体" w:cs="宋体"/>
          <w:color w:val="000000" w:themeColor="text1"/>
          <w:sz w:val="21"/>
          <w:szCs w:val="21"/>
          <w:highlight w:val="none"/>
          <w14:textFill>
            <w14:solidFill>
              <w14:schemeClr w14:val="tx1"/>
            </w14:solidFill>
          </w14:textFill>
        </w:rPr>
        <w:t xml:space="preserve">元；</w:t>
      </w:r>
      <w:r>
        <w:rPr>
          <w:rFonts w:ascii="宋体" w:hAnsi="宋体" w:cs="宋体"/>
          <w:color w:val="000000" w:themeColor="text1"/>
          <w:sz w:val="21"/>
          <w:szCs w:val="21"/>
          <w:highlight w:val="none"/>
          <w14:textFill>
            <w14:solidFill>
              <w14:schemeClr w14:val="tx1"/>
            </w14:solidFill>
          </w14:textFill>
        </w:rPr>
        <w:t xml:space="preserve">80</w:t>
      </w:r>
      <w:r>
        <w:rPr>
          <w:rFonts w:hint="eastAsia" w:ascii="宋体" w:hAnsi="宋体" w:cs="宋体"/>
          <w:color w:val="000000" w:themeColor="text1"/>
          <w:sz w:val="21"/>
          <w:szCs w:val="21"/>
          <w:highlight w:val="none"/>
          <w14:textFill>
            <w14:solidFill>
              <w14:schemeClr w14:val="tx1"/>
            </w14:solidFill>
          </w14:textFill>
        </w:rPr>
        <w:t xml:space="preserve">分≤得分＜</w:t>
      </w:r>
      <w:r>
        <w:rPr>
          <w:rFonts w:ascii="宋体" w:hAnsi="宋体" w:cs="宋体"/>
          <w:color w:val="000000" w:themeColor="text1"/>
          <w:sz w:val="21"/>
          <w:szCs w:val="21"/>
          <w:highlight w:val="none"/>
          <w14:textFill>
            <w14:solidFill>
              <w14:schemeClr w14:val="tx1"/>
            </w14:solidFill>
          </w14:textFill>
        </w:rPr>
        <w:t xml:space="preserve">85</w:t>
      </w:r>
      <w:r>
        <w:rPr>
          <w:rFonts w:hint="eastAsia" w:ascii="宋体" w:hAnsi="宋体" w:cs="宋体"/>
          <w:color w:val="000000" w:themeColor="text1"/>
          <w:sz w:val="21"/>
          <w:szCs w:val="21"/>
          <w:highlight w:val="none"/>
          <w14:textFill>
            <w14:solidFill>
              <w14:schemeClr w14:val="tx1"/>
            </w14:solidFill>
          </w14:textFill>
        </w:rPr>
        <w:t xml:space="preserve">分，每一分扣</w:t>
      </w:r>
      <w:r>
        <w:rPr>
          <w:rFonts w:ascii="宋体" w:hAnsi="宋体" w:cs="宋体"/>
          <w:color w:val="000000" w:themeColor="text1"/>
          <w:sz w:val="21"/>
          <w:szCs w:val="21"/>
          <w:highlight w:val="none"/>
          <w14:textFill>
            <w14:solidFill>
              <w14:schemeClr w14:val="tx1"/>
            </w14:solidFill>
          </w14:textFill>
        </w:rPr>
        <w:t xml:space="preserve">3000</w:t>
      </w:r>
      <w:r>
        <w:rPr>
          <w:rFonts w:hint="eastAsia" w:ascii="宋体" w:hAnsi="宋体" w:cs="宋体"/>
          <w:color w:val="000000" w:themeColor="text1"/>
          <w:sz w:val="21"/>
          <w:szCs w:val="21"/>
          <w:highlight w:val="none"/>
          <w14:textFill>
            <w14:solidFill>
              <w14:schemeClr w14:val="tx1"/>
            </w14:solidFill>
          </w14:textFill>
        </w:rPr>
        <w:t xml:space="preserve">元；</w:t>
      </w:r>
      <w:r>
        <w:rPr>
          <w:rFonts w:ascii="宋体" w:hAnsi="宋体" w:cs="宋体"/>
          <w:color w:val="000000" w:themeColor="text1"/>
          <w:sz w:val="21"/>
          <w:szCs w:val="21"/>
          <w:highlight w:val="none"/>
          <w14:textFill>
            <w14:solidFill>
              <w14:schemeClr w14:val="tx1"/>
            </w14:solidFill>
          </w14:textFill>
        </w:rPr>
        <w:t xml:space="preserve">70</w:t>
      </w:r>
      <w:r>
        <w:rPr>
          <w:rFonts w:hint="eastAsia" w:ascii="宋体" w:hAnsi="宋体" w:cs="宋体"/>
          <w:color w:val="000000" w:themeColor="text1"/>
          <w:sz w:val="21"/>
          <w:szCs w:val="21"/>
          <w:highlight w:val="none"/>
          <w14:textFill>
            <w14:solidFill>
              <w14:schemeClr w14:val="tx1"/>
            </w14:solidFill>
          </w14:textFill>
        </w:rPr>
        <w:t xml:space="preserve">分≤得分＜</w:t>
      </w:r>
      <w:r>
        <w:rPr>
          <w:rFonts w:ascii="宋体" w:hAnsi="宋体" w:cs="宋体"/>
          <w:color w:val="000000" w:themeColor="text1"/>
          <w:sz w:val="21"/>
          <w:szCs w:val="21"/>
          <w:highlight w:val="none"/>
          <w14:textFill>
            <w14:solidFill>
              <w14:schemeClr w14:val="tx1"/>
            </w14:solidFill>
          </w14:textFill>
        </w:rPr>
        <w:t xml:space="preserve">80</w:t>
      </w:r>
      <w:r>
        <w:rPr>
          <w:rFonts w:hint="eastAsia" w:ascii="宋体" w:hAnsi="宋体" w:cs="宋体"/>
          <w:color w:val="000000" w:themeColor="text1"/>
          <w:sz w:val="21"/>
          <w:szCs w:val="21"/>
          <w:highlight w:val="none"/>
          <w14:textFill>
            <w14:solidFill>
              <w14:schemeClr w14:val="tx1"/>
            </w14:solidFill>
          </w14:textFill>
        </w:rPr>
        <w:t xml:space="preserve">分，每一分扣</w:t>
      </w:r>
      <w:r>
        <w:rPr>
          <w:rFonts w:ascii="宋体" w:hAnsi="宋体" w:cs="宋体"/>
          <w:color w:val="000000" w:themeColor="text1"/>
          <w:sz w:val="21"/>
          <w:szCs w:val="21"/>
          <w:highlight w:val="none"/>
          <w14:textFill>
            <w14:solidFill>
              <w14:schemeClr w14:val="tx1"/>
            </w14:solidFill>
          </w14:textFill>
        </w:rPr>
        <w:t xml:space="preserve">5000</w:t>
      </w:r>
      <w:r>
        <w:rPr>
          <w:rFonts w:hint="eastAsia" w:ascii="宋体" w:hAnsi="宋体" w:cs="宋体"/>
          <w:color w:val="000000" w:themeColor="text1"/>
          <w:sz w:val="21"/>
          <w:szCs w:val="21"/>
          <w:highlight w:val="none"/>
          <w14:textFill>
            <w14:solidFill>
              <w14:schemeClr w14:val="tx1"/>
            </w14:solidFill>
          </w14:textFill>
        </w:rPr>
        <w:t xml:space="preserve">元；连续两次得分低于</w:t>
      </w:r>
      <w:r>
        <w:rPr>
          <w:rFonts w:ascii="宋体" w:hAnsi="宋体" w:cs="宋体"/>
          <w:color w:val="000000" w:themeColor="text1"/>
          <w:sz w:val="21"/>
          <w:szCs w:val="21"/>
          <w:highlight w:val="none"/>
          <w14:textFill>
            <w14:solidFill>
              <w14:schemeClr w14:val="tx1"/>
            </w14:solidFill>
          </w14:textFill>
        </w:rPr>
        <w:t xml:space="preserve">80</w:t>
      </w:r>
      <w:r>
        <w:rPr>
          <w:rFonts w:hint="eastAsia" w:ascii="宋体" w:hAnsi="宋体" w:cs="宋体"/>
          <w:color w:val="000000" w:themeColor="text1"/>
          <w:sz w:val="21"/>
          <w:szCs w:val="21"/>
          <w:highlight w:val="none"/>
          <w14:textFill>
            <w14:solidFill>
              <w14:schemeClr w14:val="tx1"/>
            </w14:solidFill>
          </w14:textFill>
        </w:rPr>
        <w:t xml:space="preserve">分，给予提醒谈话，责令整改；低于</w:t>
      </w:r>
      <w:r>
        <w:rPr>
          <w:rFonts w:ascii="宋体" w:hAnsi="宋体" w:cs="宋体"/>
          <w:color w:val="000000" w:themeColor="text1"/>
          <w:sz w:val="21"/>
          <w:szCs w:val="21"/>
          <w:highlight w:val="none"/>
          <w14:textFill>
            <w14:solidFill>
              <w14:schemeClr w14:val="tx1"/>
            </w14:solidFill>
          </w14:textFill>
        </w:rPr>
        <w:t xml:space="preserve">70</w:t>
      </w:r>
      <w:r>
        <w:rPr>
          <w:rFonts w:hint="eastAsia" w:ascii="宋体" w:hAnsi="宋体" w:cs="宋体"/>
          <w:color w:val="000000" w:themeColor="text1"/>
          <w:sz w:val="21"/>
          <w:szCs w:val="21"/>
          <w:highlight w:val="none"/>
          <w14:textFill>
            <w14:solidFill>
              <w14:schemeClr w14:val="tx1"/>
            </w14:solidFill>
          </w14:textFill>
        </w:rPr>
        <w:t xml:space="preserve">分，终止合作。</w:t>
      </w:r>
      <w:bookmarkEnd w:id="41"/>
      <w:r/>
      <w:bookmarkEnd w:id="42"/>
      <w:r/>
      <w:r/>
    </w:p>
    <w:p>
      <w:pPr>
        <w:ind w:firstLine="420"/>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服务范围内未履行的服务项目，按实扣除费用。</w:t>
      </w:r>
      <w:r/>
    </w:p>
    <w:p>
      <w:pPr>
        <w:pStyle w:val="811"/>
        <w:ind w:firstLine="420"/>
        <w:spacing w:line="360" w:lineRule="auto"/>
        <w:rPr>
          <w:rFonts w:ascii="宋体" w:cs="宋体"/>
          <w:b/>
          <w:bCs/>
          <w:color w:val="000000" w:themeColor="text1"/>
          <w:sz w:val="24"/>
          <w:szCs w:val="20"/>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合同签订后，开始作业的第一个月作为磨合期，考核结果不作为作业经费拨款依据，从第二个月开始，考核结果作为拨付作业经费的依据。</w:t>
      </w:r>
      <w:r/>
    </w:p>
    <w:p>
      <w:pPr>
        <w:jc w:val="center"/>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大桥镇集镇环卫一体化市场化项目考核评分细则</w:t>
      </w:r>
      <w:r/>
    </w:p>
    <w:tbl>
      <w:tblPr>
        <w:tblStyle w:val="81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442"/>
        <w:gridCol w:w="1047"/>
        <w:gridCol w:w="7263"/>
      </w:tblGrid>
      <w:tr>
        <w:trPr>
          <w:trHeight w:val="480"/>
        </w:trPr>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考核内容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扣分标准</w:t>
            </w:r>
            <w:r/>
          </w:p>
        </w:tc>
      </w:tr>
      <w:tr>
        <w:trPr>
          <w:trHeight w:val="869"/>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道路清扫管理</w:t>
            </w:r>
            <w:r>
              <w:rPr>
                <w:rFonts w:hint="eastAsia" w:ascii="宋体" w:hAnsi="宋体" w:eastAsia="宋体" w:cs="宋体"/>
                <w:b/>
                <w:bCs/>
                <w:color w:val="000000" w:themeColor="text1"/>
                <w:sz w:val="21"/>
                <w:szCs w:val="21"/>
                <w:highlight w:val="none"/>
                <w14:textFill>
                  <w14:solidFill>
                    <w14:schemeClr w14:val="tx1"/>
                  </w14:solidFill>
                </w14:textFill>
              </w:rPr>
              <w:br/>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25</w:t>
            </w:r>
            <w:r>
              <w:rPr>
                <w:rFonts w:hint="eastAsia" w:ascii="宋体" w:hAnsi="宋体" w:eastAsia="宋体" w:cs="宋体"/>
                <w:b/>
                <w:bCs/>
                <w:color w:val="000000" w:themeColor="text1"/>
                <w:sz w:val="21"/>
                <w:szCs w:val="21"/>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1、无特殊情况，未按规定时间完成普扫的，1 次扣 0.5-2 分。</w:t>
            </w:r>
            <w:r/>
          </w:p>
        </w:tc>
      </w:tr>
      <w:tr>
        <w:trPr>
          <w:trHeight w:val="71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2、清扫不到位，视情况每个点位扣 0.5-2 分。</w:t>
            </w:r>
            <w:r/>
          </w:p>
        </w:tc>
      </w:tr>
      <w:tr>
        <w:trPr>
          <w:trHeight w:val="764"/>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3、三、四级道路不按规定实施机械化作业的，每次扣 0.5 分。</w:t>
            </w:r>
            <w:r/>
          </w:p>
        </w:tc>
      </w:tr>
      <w:tr>
        <w:trPr>
          <w:trHeight w:val="136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、道路、绿化带、排水槽、人行道、树穴、公交站台、公共自行车停放点、空调机内侧、窨井盖等地点存在积存的烟蒂、果皮、纸屑、枯树枝以及其他漂浮物，视情况扣 0.5-3 分。</w:t>
            </w:r>
            <w:r/>
          </w:p>
        </w:tc>
      </w:tr>
      <w:tr>
        <w:trPr>
          <w:trHeight w:val="96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、道路有堆积垃圾（含积存性的大件垃圾、建筑垃圾、垃圾池周边秸䄭以及农业废弃物），每处扣 0.5-3 分。</w:t>
            </w:r>
            <w:r/>
          </w:p>
        </w:tc>
      </w:tr>
      <w:tr>
        <w:trPr>
          <w:trHeight w:val="62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、路面、路牙有积灰，不见本色；积水未及时推扫，每点位扣0.2 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、不按作业规定冲洗道路，每处扣 0.2 分；每日晒水频次达不到要求，每次扣1分。</w:t>
            </w:r>
            <w:r/>
          </w:p>
        </w:tc>
      </w:tr>
      <w:tr>
        <w:trPr>
          <w:trHeight w:val="62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、路面杂草未清，每处扣 0.1 分。</w:t>
            </w:r>
            <w:r/>
          </w:p>
        </w:tc>
      </w:tr>
      <w:tr>
        <w:trPr>
          <w:trHeight w:val="62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、路面、窨井盖油污，每处扣 0.2 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果壳箱、垃圾桶管理（5 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1、道路果壳箱清理不到位，外观不整洁，设施破损维修不及时，每处扣 0.2 分。</w:t>
            </w:r>
            <w:r/>
          </w:p>
        </w:tc>
      </w:tr>
      <w:tr>
        <w:trPr>
          <w:trHeight w:val="108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2、垃圾桶擦拭每日不少于1次，清洗每周不少于1次，未达要求每处扣0.1分；垃圾桶损坏未及时更换，缺失未及时补齐，每处扣0.1分。</w:t>
            </w:r>
            <w:r/>
          </w:p>
        </w:tc>
      </w:tr>
      <w:tr>
        <w:trPr>
          <w:trHeight w:val="835"/>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垃圾收集</w:t>
            </w:r>
            <w:r>
              <w:rPr>
                <w:rFonts w:hint="eastAsia" w:ascii="宋体" w:hAnsi="宋体" w:eastAsia="宋体" w:cs="宋体"/>
                <w:b/>
                <w:bCs/>
                <w:color w:val="000000" w:themeColor="text1"/>
                <w:sz w:val="21"/>
                <w:szCs w:val="21"/>
                <w:highlight w:val="none"/>
                <w14:textFill>
                  <w14:solidFill>
                    <w14:schemeClr w14:val="tx1"/>
                  </w14:solidFill>
                </w14:textFill>
              </w:rPr>
              <w:br/>
            </w:r>
            <w:r>
              <w:rPr>
                <w:rFonts w:hint="eastAsia" w:ascii="宋体" w:hAnsi="宋体" w:eastAsia="宋体" w:cs="宋体"/>
                <w:b/>
                <w:bCs/>
                <w:color w:val="000000" w:themeColor="text1"/>
                <w:sz w:val="21"/>
                <w:szCs w:val="21"/>
                <w:highlight w:val="none"/>
                <w14:textFill>
                  <w14:solidFill>
                    <w14:schemeClr w14:val="tx1"/>
                  </w14:solidFill>
                </w14:textFill>
              </w:rPr>
              <w:t xml:space="preserve">管理</w:t>
            </w:r>
            <w:r>
              <w:rPr>
                <w:rFonts w:hint="eastAsia" w:ascii="宋体" w:hAnsi="宋体" w:eastAsia="宋体" w:cs="宋体"/>
                <w:b/>
                <w:bCs/>
                <w:color w:val="000000" w:themeColor="text1"/>
                <w:sz w:val="21"/>
                <w:szCs w:val="21"/>
                <w:highlight w:val="none"/>
                <w14:textFill>
                  <w14:solidFill>
                    <w14:schemeClr w14:val="tx1"/>
                  </w14:solidFill>
                </w14:textFill>
              </w:rPr>
              <w:br/>
            </w:r>
            <w:r>
              <w:rPr>
                <w:rFonts w:hint="eastAsia" w:ascii="宋体" w:hAnsi="宋体" w:eastAsia="宋体" w:cs="宋体"/>
                <w:b/>
                <w:bCs/>
                <w:color w:val="000000" w:themeColor="text1"/>
                <w:sz w:val="21"/>
                <w:szCs w:val="21"/>
                <w:highlight w:val="none"/>
                <w14:textFill>
                  <w14:solidFill>
                    <w14:schemeClr w14:val="tx1"/>
                  </w14:solidFill>
                </w14:textFill>
              </w:rPr>
              <w:t xml:space="preserve">（18 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、垃圾未日产日清，收集频次少于每日2次，每次扣 5 分。</w:t>
            </w:r>
            <w:r/>
          </w:p>
        </w:tc>
      </w:tr>
      <w:tr>
        <w:trPr>
          <w:trHeight w:val="69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、垃圾漏收，每次扣 0.5 分。</w:t>
            </w:r>
            <w:r/>
          </w:p>
        </w:tc>
      </w:tr>
      <w:tr>
        <w:trPr>
          <w:trHeight w:val="764"/>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、垃圾收集、运输抛洒滴漏，垃圾容器及周边 2 米内不洁，每次扣 1 分。</w:t>
            </w:r>
            <w:r/>
          </w:p>
        </w:tc>
      </w:tr>
      <w:tr>
        <w:trPr>
          <w:trHeight w:val="775"/>
        </w:trPr>
        <w:tc>
          <w:tcPr>
            <w:tcBorders>
              <w:top w:val="single" w:color="000000" w:sz="4" w:space="0"/>
              <w:left w:val="single" w:color="000000" w:sz="4" w:space="0"/>
              <w:bottom w:val="single" w:color="auto"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3分</w:t>
            </w:r>
            <w:r/>
          </w:p>
        </w:tc>
        <w:tc>
          <w:tcPr>
            <w:tcBorders>
              <w:top w:val="single" w:color="000000" w:sz="4" w:space="0"/>
              <w:left w:val="single" w:color="000000" w:sz="4" w:space="0"/>
              <w:bottom w:val="single" w:color="auto"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、蝇蚊滋生季节，垃圾点未喷洒消毒，每处扣 0.2 分。</w:t>
            </w:r>
            <w:r/>
          </w:p>
        </w:tc>
      </w:tr>
      <w:tr>
        <w:trPr>
          <w:trHeight w:val="750"/>
        </w:trPr>
        <w:tc>
          <w:tcPr>
            <w:tcBorders>
              <w:top w:val="single" w:color="auto" w:sz="4" w:space="0"/>
              <w:left w:val="single" w:color="auto" w:sz="4" w:space="0"/>
              <w:bottom w:val="single" w:color="auto" w:sz="4" w:space="0"/>
              <w:right w:val="single" w:color="auto"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垃圾运输管理</w:t>
            </w:r>
            <w:r>
              <w:rPr>
                <w:rFonts w:hint="eastAsia" w:ascii="宋体" w:hAnsi="宋体" w:eastAsia="宋体" w:cs="宋体"/>
                <w:b/>
                <w:bCs/>
                <w:color w:val="000000" w:themeColor="text1"/>
                <w:sz w:val="21"/>
                <w:szCs w:val="21"/>
                <w:highlight w:val="none"/>
                <w14:textFill>
                  <w14:solidFill>
                    <w14:schemeClr w14:val="tx1"/>
                  </w14:solidFill>
                </w14:textFill>
              </w:rPr>
              <w:br/>
            </w:r>
            <w:r>
              <w:rPr>
                <w:rFonts w:hint="eastAsia" w:ascii="宋体" w:hAnsi="宋体" w:eastAsia="宋体" w:cs="宋体"/>
                <w:b/>
                <w:bCs/>
                <w:color w:val="000000" w:themeColor="text1"/>
                <w:sz w:val="21"/>
                <w:szCs w:val="21"/>
                <w:highlight w:val="none"/>
                <w14:textFill>
                  <w14:solidFill>
                    <w14:schemeClr w14:val="tx1"/>
                  </w14:solidFill>
                </w14:textFill>
              </w:rPr>
              <w:t xml:space="preserve">（12 分）</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1、垃圾运输车辆车容不洁、车体损坏、标志不清、垃圾拖挂、抛洒滴漏的，每次扣 1 分。</w:t>
            </w:r>
            <w:r/>
          </w:p>
        </w:tc>
      </w:tr>
      <w:tr>
        <w:trPr>
          <w:trHeight w:val="750"/>
        </w:trPr>
        <w:tc>
          <w:tcPr>
            <w:tcBorders>
              <w:top w:val="single" w:color="auto" w:sz="4" w:space="0"/>
              <w:left w:val="single" w:color="auto"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auto"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2、垃圾运输车辆必须车况良好，仪表、车灯、倒车喇叭等必须工作正常，否则扣 0.5-1 分；驾驶员必须持证上岗，否则每次扣 1 分。</w:t>
            </w:r>
            <w:r/>
          </w:p>
        </w:tc>
      </w:tr>
      <w:tr>
        <w:trPr>
          <w:trHeight w:val="800"/>
        </w:trPr>
        <w:tc>
          <w:tcPr>
            <w:tcBorders>
              <w:top w:val="none" w:color="000000" w:sz="4" w:space="0"/>
              <w:left w:val="single" w:color="auto"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3、车辆装卸垃圾不及时，导致垃圾滞留的，每次扣 0.2 分；乱倒垃圾的，每次扣 1 分；未设置醒目安全标志的，每次扣 0.1 分；超速行驶、逆向行驶、闯红灯等违反交通法规的行为，每次扣0.5-2 分。</w:t>
            </w:r>
            <w:r/>
          </w:p>
        </w:tc>
      </w:tr>
      <w:tr>
        <w:trPr>
          <w:trHeight w:val="375"/>
        </w:trPr>
        <w:tc>
          <w:tcPr>
            <w:tcBorders>
              <w:top w:val="none" w:color="000000" w:sz="4" w:space="0"/>
              <w:left w:val="single" w:color="auto"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4、车辆记载及监控设备必须开启，否则每车每次扣0.5分。</w:t>
            </w:r>
            <w:r/>
          </w:p>
        </w:tc>
      </w:tr>
      <w:tr>
        <w:trPr>
          <w:trHeight w:val="375"/>
        </w:trPr>
        <w:tc>
          <w:tcPr>
            <w:tcBorders>
              <w:top w:val="none" w:color="000000" w:sz="4" w:space="0"/>
              <w:left w:val="single" w:color="auto"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5、作业车辆不满足规定数量的，每缺一辆扣 1 分。</w:t>
            </w:r>
            <w:r/>
          </w:p>
        </w:tc>
      </w:tr>
      <w:tr>
        <w:trPr>
          <w:trHeight w:val="360"/>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乱涂画、乱张贴管理（含小广告）</w:t>
            </w:r>
            <w:r>
              <w:rPr>
                <w:rFonts w:hint="eastAsia" w:ascii="宋体" w:hAnsi="宋体" w:eastAsia="宋体" w:cs="宋体"/>
                <w:b/>
                <w:bCs/>
                <w:color w:val="000000" w:themeColor="text1"/>
                <w:sz w:val="21"/>
                <w:szCs w:val="21"/>
                <w:highlight w:val="none"/>
                <w14:textFill>
                  <w14:solidFill>
                    <w14:schemeClr w14:val="tx1"/>
                  </w14:solidFill>
                </w14:textFill>
              </w:rPr>
              <w:br/>
            </w:r>
            <w:r>
              <w:rPr>
                <w:rFonts w:hint="eastAsia" w:ascii="宋体" w:hAnsi="宋体" w:eastAsia="宋体" w:cs="宋体"/>
                <w:b/>
                <w:bCs/>
                <w:color w:val="000000" w:themeColor="text1"/>
                <w:sz w:val="21"/>
                <w:szCs w:val="21"/>
                <w:highlight w:val="none"/>
                <w14:textFill>
                  <w14:solidFill>
                    <w14:schemeClr w14:val="tx1"/>
                  </w14:solidFill>
                </w14:textFill>
              </w:rPr>
              <w:t xml:space="preserve">（5 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1、路面有乱张贴、乱涂画，24 小时未清理的，每处扣 0.1 分。</w:t>
            </w:r>
            <w:r/>
          </w:p>
        </w:tc>
      </w:tr>
      <w:tr>
        <w:trPr>
          <w:trHeight w:val="22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2、立面单一物体上有乱张贴、乱涂画，24 小时未清理的，每处扣 0.1分。</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备注：立面单一物体指的是单一的灯柱、桥墩、树干、报刊亭、工具房、雕塑、各类指示牌、公交站台、候车亭、广告栏、卷闸门、玻璃窗等。立面单一物体的乱张贴、乱涂画，24 小时内，不论数量多少均按 1 处记录。</w:t>
            </w:r>
            <w:r/>
          </w:p>
        </w:tc>
      </w:tr>
      <w:tr>
        <w:trPr>
          <w:trHeight w:val="204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3、墙体、防护栏上有乱张贴、乱涂画，24 小时内未清理的，每处扣0.1 分。</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备注：在连续墙体及防护栏上乱张贴、乱涂画的，以 1 米未单位记录，1 米不论数量均按一处记录；超过 1 米的，每 1 米按一处记录。</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公共厕所管理</w:t>
            </w:r>
            <w:r>
              <w:rPr>
                <w:rFonts w:hint="eastAsia" w:ascii="宋体" w:hAnsi="宋体" w:eastAsia="宋体" w:cs="宋体"/>
                <w:b/>
                <w:bCs/>
                <w:color w:val="000000" w:themeColor="text1"/>
                <w:sz w:val="21"/>
                <w:szCs w:val="21"/>
                <w:highlight w:val="none"/>
                <w14:textFill>
                  <w14:solidFill>
                    <w14:schemeClr w14:val="tx1"/>
                  </w14:solidFill>
                </w14:textFill>
              </w:rPr>
              <w:br/>
            </w:r>
            <w:r>
              <w:rPr>
                <w:rFonts w:hint="eastAsia" w:ascii="宋体" w:hAnsi="宋体" w:eastAsia="宋体" w:cs="宋体"/>
                <w:b/>
                <w:bCs/>
                <w:color w:val="000000" w:themeColor="text1"/>
                <w:sz w:val="21"/>
                <w:szCs w:val="21"/>
                <w:highlight w:val="none"/>
                <w14:textFill>
                  <w14:solidFill>
                    <w14:schemeClr w14:val="tx1"/>
                  </w14:solidFill>
                </w14:textFill>
              </w:rPr>
              <w:t xml:space="preserve">（15 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1、公厕对外开放，管理人员在岗在位，按照岗位责任制保洁管理，违反一次扣 0.2 分。</w:t>
            </w:r>
            <w:r/>
          </w:p>
        </w:tc>
      </w:tr>
      <w:tr>
        <w:trPr>
          <w:trHeight w:val="88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2、各类标牌、宣传牌、标志齐全，缺失的，每处扣 0.2 分。</w:t>
            </w:r>
            <w:r/>
          </w:p>
        </w:tc>
      </w:tr>
      <w:tr>
        <w:trPr>
          <w:trHeight w:val="112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3、各类卫生设施、灯具、挂物钩、冲刷设施、内外墙壁、天花板等完好，灭鼠除臭设施使用正常，如有损坏，48 小时内未整改到位的，每次扣 1 分。第三卫生间、无障碍通道必须正常使用，否则每次扣 0.2 分。</w:t>
            </w:r>
            <w:r/>
          </w:p>
        </w:tc>
      </w:tr>
      <w:tr>
        <w:trPr>
          <w:trHeight w:val="112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4、公厕保洁标准达到“十无二净”，无尿碱、无粪垢、无杂物、无蝇蛆、无蜘蛛网、无广告纸、地面无积水、坑槽无积粪、天花墙壁无灰尘、无恶臭，室内设施洁净，室外四周一米干净，未达标，每处扣 0.2 分。</w:t>
            </w:r>
            <w:r/>
          </w:p>
        </w:tc>
      </w:tr>
      <w:tr>
        <w:trPr>
          <w:trHeight w:val="37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5、公厕周边严禁乱搭乱建，工具间严禁堆放杂物，违反每次扣 0.5 分。</w:t>
            </w:r>
            <w:r/>
          </w:p>
        </w:tc>
      </w:tr>
      <w:tr>
        <w:trPr>
          <w:trHeight w:val="1125"/>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垃圾中转站管理</w:t>
            </w:r>
            <w:r>
              <w:rPr>
                <w:rFonts w:hint="eastAsia" w:ascii="宋体" w:hAnsi="宋体" w:eastAsia="宋体" w:cs="宋体"/>
                <w:b/>
                <w:bCs/>
                <w:color w:val="000000" w:themeColor="text1"/>
                <w:sz w:val="21"/>
                <w:szCs w:val="21"/>
                <w:highlight w:val="none"/>
                <w14:textFill>
                  <w14:solidFill>
                    <w14:schemeClr w14:val="tx1"/>
                  </w14:solidFill>
                </w14:textFill>
              </w:rPr>
              <w:br/>
            </w:r>
            <w:r>
              <w:rPr>
                <w:rFonts w:hint="eastAsia" w:ascii="宋体" w:hAnsi="宋体" w:eastAsia="宋体" w:cs="宋体"/>
                <w:b/>
                <w:bCs/>
                <w:color w:val="000000" w:themeColor="text1"/>
                <w:sz w:val="21"/>
                <w:szCs w:val="21"/>
                <w:highlight w:val="none"/>
                <w14:textFill>
                  <w14:solidFill>
                    <w14:schemeClr w14:val="tx1"/>
                  </w14:solidFill>
                </w14:textFill>
              </w:rPr>
              <w:t xml:space="preserve">（10 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1、中转站必须专人管理，设施标志齐备，建立健全各类管理制度和台账记录，设置消防设施和灭鼠器具，违反每项扣 0.5 分；站外车辆必须有序停放、等待，由于乱停乱放导致周边道路拥堵的，每次扣 0.5 分。</w:t>
            </w:r>
            <w:r/>
          </w:p>
        </w:tc>
      </w:tr>
      <w:tr>
        <w:trPr>
          <w:trHeight w:val="126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2、中转站设施损坏不及时维修，设备操作不规范，每次扣 1 分。</w:t>
            </w:r>
            <w:r/>
          </w:p>
        </w:tc>
      </w:tr>
      <w:tr>
        <w:trPr>
          <w:trHeight w:val="112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3、中转站内部及周边环境卫生整洁，无垃圾滞留，无杂物堆积，无蛛网，无陈旧性灰尘，无乱搭乱建，废气废水排放符合环保标准，灭蝇除臭工作规范有序，废水排放设施、通道畅通，违反每项扣 1 分。</w:t>
            </w:r>
            <w:r/>
          </w:p>
        </w:tc>
      </w:tr>
      <w:tr>
        <w:trPr>
          <w:trHeight w:val="122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4、中转站不得分拣废品，保证垃圾日产日清，违反每次扣 1 分；中转站用水用电必须安全规范，严禁私拉乱接，违反每次扣 2 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5、垃圾压缩车、压缩箱必须在站内排清污水，清洗车身，确保车身整洁，无外挂垃圾，运输途中无废水满溢，无抛洒滴漏，违反每次扣 1 分。</w:t>
            </w:r>
            <w:r/>
          </w:p>
        </w:tc>
      </w:tr>
      <w:tr>
        <w:trPr>
          <w:trHeight w:val="375"/>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文明安全</w:t>
            </w:r>
            <w:r>
              <w:rPr>
                <w:rFonts w:hint="eastAsia" w:ascii="宋体" w:hAnsi="宋体" w:eastAsia="宋体" w:cs="宋体"/>
                <w:b/>
                <w:bCs/>
                <w:color w:val="000000" w:themeColor="text1"/>
                <w:sz w:val="21"/>
                <w:szCs w:val="21"/>
                <w:highlight w:val="none"/>
                <w14:textFill>
                  <w14:solidFill>
                    <w14:schemeClr w14:val="tx1"/>
                  </w14:solidFill>
                </w14:textFill>
              </w:rPr>
              <w:br/>
            </w:r>
            <w:r>
              <w:rPr>
                <w:rFonts w:hint="eastAsia" w:ascii="宋体" w:hAnsi="宋体" w:eastAsia="宋体" w:cs="宋体"/>
                <w:b/>
                <w:bCs/>
                <w:color w:val="000000" w:themeColor="text1"/>
                <w:sz w:val="21"/>
                <w:szCs w:val="21"/>
                <w:highlight w:val="none"/>
                <w14:textFill>
                  <w14:solidFill>
                    <w14:schemeClr w14:val="tx1"/>
                  </w14:solidFill>
                </w14:textFill>
              </w:rPr>
              <w:t xml:space="preserve">管理</w:t>
            </w:r>
            <w:r>
              <w:rPr>
                <w:rFonts w:hint="eastAsia" w:ascii="宋体" w:hAnsi="宋体" w:eastAsia="宋体" w:cs="宋体"/>
                <w:b/>
                <w:bCs/>
                <w:color w:val="000000" w:themeColor="text1"/>
                <w:sz w:val="21"/>
                <w:szCs w:val="21"/>
                <w:highlight w:val="none"/>
                <w14:textFill>
                  <w14:solidFill>
                    <w14:schemeClr w14:val="tx1"/>
                  </w14:solidFill>
                </w14:textFill>
              </w:rPr>
              <w:br/>
            </w:r>
            <w:r>
              <w:rPr>
                <w:rFonts w:hint="eastAsia" w:ascii="宋体" w:hAnsi="宋体" w:eastAsia="宋体" w:cs="宋体"/>
                <w:b/>
                <w:bCs/>
                <w:color w:val="000000" w:themeColor="text1"/>
                <w:sz w:val="21"/>
                <w:szCs w:val="21"/>
                <w:highlight w:val="none"/>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1、未建立安全管理制度，扣 1 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2、将垃圾扫入下水道、绿化带以及其他不应该存放垃圾的处所，每处扣 0.2 分。</w:t>
            </w:r>
            <w:r/>
          </w:p>
        </w:tc>
      </w:tr>
      <w:tr>
        <w:trPr>
          <w:trHeight w:val="37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3、发生安全事故未能正确妥善协调处理，造成恶劣影响的，每次扣1-5分。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4、清扫保洁人员及各类环卫车辆驾驶员必须礼让行人，适当控制作业速度，强行争道、妨碍行人车辆安全或其他野蛮作业行为，每次扣 0.2-1 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公众监督</w:t>
            </w:r>
            <w:r>
              <w:rPr>
                <w:rFonts w:hint="eastAsia" w:ascii="宋体" w:hAnsi="宋体" w:eastAsia="宋体" w:cs="宋体"/>
                <w:b/>
                <w:bCs/>
                <w:color w:val="000000" w:themeColor="text1"/>
                <w:sz w:val="21"/>
                <w:szCs w:val="21"/>
                <w:highlight w:val="none"/>
                <w14:textFill>
                  <w14:solidFill>
                    <w14:schemeClr w14:val="tx1"/>
                  </w14:solidFill>
                </w14:textFill>
              </w:rPr>
              <w:br/>
            </w:r>
            <w:r>
              <w:rPr>
                <w:rFonts w:hint="eastAsia" w:ascii="宋体" w:hAnsi="宋体" w:eastAsia="宋体" w:cs="宋体"/>
                <w:b/>
                <w:bCs/>
                <w:color w:val="000000" w:themeColor="text1"/>
                <w:sz w:val="21"/>
                <w:szCs w:val="21"/>
                <w:highlight w:val="none"/>
                <w14:textFill>
                  <w14:solidFill>
                    <w14:schemeClr w14:val="tx1"/>
                  </w14:solidFill>
                </w14:textFill>
              </w:rPr>
              <w:t xml:space="preserve">（5 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1、由于工作不到位，被新闻媒体曝光，经核实，每宗扣1 分。同一事件（问题），出现 3 次以上投诉，依然不整改或整改不到位的，每宗扣 5 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2、发生服务态度和工作责任投诉，每宗扣 2分；同一事件（问题），出现 3 次以上投诉的，每宗扣 5 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3、出现市、区有关部门督办的问题，每宗扣 2 分，同一事件（问题），出现 3 次以上投诉，依然不整改或整改不到位的，每宗扣 5 分。</w:t>
            </w:r>
            <w:r/>
          </w:p>
        </w:tc>
      </w:tr>
    </w:tbl>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包2项目需求：</w:t>
      </w:r>
      <w:r/>
    </w:p>
    <w:p>
      <w:pPr>
        <w:ind w:firstLine="422"/>
        <w:spacing w:line="360" w:lineRule="auto"/>
        <w:rPr>
          <w:color w:val="000000" w:themeColor="text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一、作业区域及作业内容</w:t>
      </w:r>
      <w:r/>
    </w:p>
    <w:p>
      <w:pPr>
        <w:ind w:firstLine="422"/>
        <w:spacing w:line="360" w:lineRule="auto"/>
        <w:rPr>
          <w:rFonts w:asci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包</w:t>
      </w:r>
      <w:r>
        <w:rPr>
          <w:rFonts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服务区域：安大路以东（昌松、嘶马镇区、工业园区、中小企业园、果园场）</w:t>
      </w:r>
      <w:r/>
    </w:p>
    <w:tbl>
      <w:tblPr>
        <w:tblStyle w:val="81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779"/>
        <w:gridCol w:w="622"/>
        <w:gridCol w:w="1891"/>
        <w:gridCol w:w="294"/>
        <w:gridCol w:w="5525"/>
      </w:tblGrid>
      <w:tr>
        <w:trPr>
          <w:trHeight w:val="6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范围</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昌</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松</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镇</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区</w:t>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振昌路至西头</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波斯路</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号桥至昌松小学</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振昌路</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春江超市至波斯路北侧桥</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老街</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昌吴路至镇西桥</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农贸市场</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市场内</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波斯社区</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辖区内全域</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嘶</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马</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镇</w:t>
            </w:r>
            <w:r>
              <w:rPr>
                <w:rFonts w:asci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区</w:t>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长江路</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嘶浦路至江平线</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嘶浦路</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闸口至长江路</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嘶昌路</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江平线至卫生服务站</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老街</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欧德福至广播站</w:t>
            </w:r>
            <w:r>
              <w:rPr>
                <w:rFonts w:ascii="宋体" w:hAnsi="宋体" w:cs="宋体"/>
                <w:color w:val="000000" w:themeColor="text1"/>
                <w:szCs w:val="21"/>
                <w:highlight w:val="none"/>
                <w14:textFill>
                  <w14:solidFill>
                    <w14:schemeClr w14:val="tx1"/>
                  </w14:solidFill>
                </w14:textFill>
              </w:rPr>
              <w:t xml:space="preserve">1279</w:t>
            </w:r>
            <w:r>
              <w:rPr>
                <w:rFonts w:hint="eastAsia" w:ascii="宋体" w:hAnsi="宋体" w:cs="宋体"/>
                <w:color w:val="000000" w:themeColor="text1"/>
                <w:szCs w:val="21"/>
                <w:highlight w:val="none"/>
                <w14:textFill>
                  <w14:solidFill>
                    <w14:schemeClr w14:val="tx1"/>
                  </w14:solidFill>
                </w14:textFill>
              </w:rPr>
              <w:t xml:space="preserve">号</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农贸市场</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市场内</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长江社区</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辖区内全域</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ff0000"/>
                <w:szCs w:val="21"/>
                <w:highlight w:val="none"/>
              </w:rPr>
            </w:pPr>
            <w:r>
              <w:rPr>
                <w:rFonts w:ascii="宋体" w:hAnsi="宋体" w:cs="宋体"/>
                <w:color w:val="ff0000"/>
                <w:szCs w:val="21"/>
                <w:highlight w:val="none"/>
              </w:rPr>
              <w:t xml:space="preserve">3</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ff0000"/>
                <w:szCs w:val="21"/>
                <w:highlight w:val="none"/>
              </w:rPr>
            </w:pPr>
            <w:r>
              <w:rPr>
                <w:rFonts w:hint="eastAsia" w:ascii="宋体" w:hAnsi="宋体" w:cs="宋体"/>
                <w:color w:val="ff0000"/>
                <w:szCs w:val="21"/>
                <w:highlight w:val="none"/>
              </w:rPr>
              <w:t xml:space="preserve">工业园区</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center"/>
              <w:widowControl/>
              <w:rPr>
                <w:rFonts w:ascii="宋体" w:cs="宋体"/>
                <w:color w:val="ff0000"/>
                <w:szCs w:val="21"/>
                <w:highlight w:val="none"/>
              </w:rPr>
            </w:pPr>
            <w:r>
              <w:rPr>
                <w:rFonts w:hint="eastAsia" w:ascii="宋体" w:hAnsi="宋体" w:cs="宋体"/>
                <w:color w:val="auto"/>
                <w:szCs w:val="21"/>
                <w:highlight w:val="none"/>
              </w:rPr>
              <w:t xml:space="preserve">全域（含</w:t>
            </w:r>
            <w:r>
              <w:rPr>
                <w:rFonts w:hint="eastAsia" w:ascii="宋体" w:hAnsi="宋体" w:cs="宋体"/>
                <w:color w:val="ff0000"/>
                <w:szCs w:val="21"/>
                <w:highlight w:val="none"/>
              </w:rPr>
              <w:t xml:space="preserve">一、二期院内，</w:t>
            </w:r>
            <w:r>
              <w:rPr>
                <w:rFonts w:hint="eastAsia" w:ascii="宋体" w:hAnsi="宋体" w:cs="宋体"/>
                <w:color w:val="auto"/>
                <w:szCs w:val="21"/>
                <w:highlight w:val="none"/>
              </w:rPr>
              <w:t xml:space="preserve">其中金川路西延伸至大宜路，北延伸至三墩大桥）</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中小企业园</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全域（含院内）</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5</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江平路</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童兴加油站至嘶浦路</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杨墅村</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工业园区以北村庄</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大昌南路</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江平线至振昌路</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8</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果园场</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全域</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9</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中转站</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嘶马中转站一座</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10</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建筑垃圾临时堆放点</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迎山村西联组</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ff0000"/>
                <w:szCs w:val="21"/>
                <w:highlight w:val="none"/>
              </w:rPr>
            </w:pPr>
            <w:r>
              <w:rPr>
                <w:rFonts w:ascii="宋体" w:hAnsi="宋体" w:cs="宋体"/>
                <w:color w:val="ff0000"/>
                <w:szCs w:val="21"/>
                <w:highlight w:val="none"/>
              </w:rPr>
              <w:t xml:space="preserve">11</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ff0000"/>
                <w:szCs w:val="21"/>
                <w:highlight w:val="none"/>
              </w:rPr>
            </w:pPr>
            <w:r>
              <w:rPr>
                <w:rFonts w:hint="eastAsia" w:ascii="宋体" w:hAnsi="宋体" w:cs="宋体"/>
                <w:color w:val="ff0000"/>
                <w:szCs w:val="21"/>
                <w:highlight w:val="none"/>
              </w:rPr>
              <w:t xml:space="preserve">安大路</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ff0000"/>
                <w:szCs w:val="21"/>
                <w:highlight w:val="none"/>
              </w:rPr>
            </w:pPr>
            <w:r>
              <w:rPr>
                <w:rFonts w:hint="eastAsia" w:ascii="宋体" w:hAnsi="宋体" w:cs="宋体"/>
                <w:color w:val="ff0000"/>
                <w:szCs w:val="21"/>
                <w:highlight w:val="none"/>
              </w:rPr>
              <w:t xml:space="preserve">大桥</w:t>
            </w:r>
            <w:r>
              <w:rPr>
                <w:rFonts w:hint="eastAsia" w:ascii="宋体" w:hAnsi="宋体" w:cs="宋体"/>
                <w:color w:val="ff0000"/>
                <w:szCs w:val="21"/>
                <w:highlight w:val="none"/>
                <w:lang w:val="en-US" w:eastAsia="zh-CN"/>
              </w:rPr>
              <w:t xml:space="preserve">互</w:t>
            </w:r>
            <w:r>
              <w:rPr>
                <w:rFonts w:hint="eastAsia" w:ascii="宋体" w:hAnsi="宋体" w:cs="宋体"/>
                <w:color w:val="ff0000"/>
                <w:szCs w:val="21"/>
                <w:highlight w:val="none"/>
              </w:rPr>
              <w:t xml:space="preserve">通至江都港</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12</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白沙路</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兴港路至三江大道</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13</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三江大道</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兴港路至江平路</w:t>
            </w:r>
            <w:r/>
          </w:p>
        </w:tc>
      </w:tr>
      <w:tr>
        <w:trPr>
          <w:trHeight w:val="480"/>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14</w:t>
            </w:r>
            <w:r/>
          </w:p>
        </w:tc>
        <w:tc>
          <w:tcPr>
            <w:gridSpan w:val="3"/>
            <w:tcBorders>
              <w:top w:val="single" w:color="000000" w:sz="4" w:space="0"/>
              <w:left w:val="single" w:color="000000" w:sz="4" w:space="0"/>
              <w:bottom w:val="single" w:color="000000" w:sz="4" w:space="0"/>
              <w:right w:val="single" w:color="000000" w:sz="4" w:space="0"/>
            </w:tcBorders>
            <w:tcW w:w="2807"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海润路</w:t>
            </w:r>
            <w:r/>
          </w:p>
        </w:tc>
        <w:tc>
          <w:tcPr>
            <w:tcBorders>
              <w:top w:val="single" w:color="000000" w:sz="4" w:space="0"/>
              <w:left w:val="single" w:color="000000" w:sz="4" w:space="0"/>
              <w:bottom w:val="single" w:color="000000" w:sz="4" w:space="0"/>
              <w:right w:val="singl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三江路至海事执法码头</w:t>
            </w:r>
            <w:r/>
          </w:p>
        </w:tc>
      </w:tr>
      <w:tr>
        <w:trPr>
          <w:trHeight w:val="480"/>
        </w:trPr>
        <w:tc>
          <w:tcPr>
            <w:tcBorders>
              <w:top w:val="single" w:color="000000" w:sz="4" w:space="0"/>
              <w:left w:val="single" w:color="000000" w:sz="4" w:space="0"/>
              <w:bottom w:val="single" w:color="auto"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15</w:t>
            </w:r>
            <w:r/>
          </w:p>
        </w:tc>
        <w:tc>
          <w:tcPr>
            <w:gridSpan w:val="3"/>
            <w:tcBorders>
              <w:top w:val="single" w:color="000000" w:sz="4" w:space="0"/>
              <w:left w:val="single" w:color="000000" w:sz="4" w:space="0"/>
              <w:bottom w:val="single" w:color="auto" w:sz="4" w:space="0"/>
              <w:right w:val="single" w:color="000000" w:sz="4" w:space="0"/>
            </w:tcBorders>
            <w:tcW w:w="2807"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乔梓路</w:t>
            </w:r>
            <w:r/>
          </w:p>
        </w:tc>
        <w:tc>
          <w:tcPr>
            <w:tcBorders>
              <w:top w:val="single" w:color="000000" w:sz="4" w:space="0"/>
              <w:left w:val="single" w:color="000000" w:sz="4" w:space="0"/>
              <w:bottom w:val="single" w:color="auto" w:sz="4" w:space="0"/>
              <w:right w:val="none" w:color="000000" w:sz="4" w:space="0"/>
            </w:tcBorders>
            <w:tcW w:w="5525"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三江路至江堤</w:t>
            </w:r>
            <w:r/>
          </w:p>
        </w:tc>
      </w:tr>
      <w:tr>
        <w:trPr>
          <w:trHeight w:val="480"/>
        </w:trPr>
        <w:tc>
          <w:tcPr>
            <w:tcBorders>
              <w:top w:val="single" w:color="auto" w:sz="4" w:space="0"/>
              <w:left w:val="single" w:color="auto"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16</w:t>
            </w:r>
            <w:r/>
          </w:p>
        </w:tc>
        <w:tc>
          <w:tcPr>
            <w:gridSpan w:val="2"/>
            <w:tcBorders>
              <w:top w:val="single" w:color="auto" w:sz="4" w:space="0"/>
              <w:left w:val="single" w:color="000000" w:sz="4" w:space="0"/>
              <w:bottom w:val="single" w:color="000000" w:sz="4" w:space="0"/>
              <w:right w:val="single" w:color="000000" w:sz="4" w:space="0"/>
            </w:tcBorders>
            <w:tcW w:w="251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三阳路</w:t>
            </w:r>
            <w:r/>
          </w:p>
        </w:tc>
        <w:tc>
          <w:tcPr>
            <w:gridSpan w:val="2"/>
            <w:tcBorders>
              <w:top w:val="single" w:color="auto" w:sz="4" w:space="0"/>
              <w:left w:val="single" w:color="000000" w:sz="4" w:space="0"/>
              <w:bottom w:val="single" w:color="000000" w:sz="4" w:space="0"/>
              <w:right w:val="single" w:color="auto" w:sz="4" w:space="0"/>
            </w:tcBorders>
            <w:tcW w:w="581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三江路至江堤</w:t>
            </w:r>
            <w:r/>
          </w:p>
        </w:tc>
      </w:tr>
      <w:tr>
        <w:trPr>
          <w:trHeight w:val="480"/>
        </w:trPr>
        <w:tc>
          <w:tcPr>
            <w:tcBorders>
              <w:top w:val="single" w:color="000000" w:sz="4" w:space="0"/>
              <w:left w:val="single" w:color="auto"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17</w:t>
            </w:r>
            <w:r/>
          </w:p>
        </w:tc>
        <w:tc>
          <w:tcPr>
            <w:gridSpan w:val="2"/>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星南路</w:t>
            </w:r>
            <w:r/>
          </w:p>
        </w:tc>
        <w:tc>
          <w:tcPr>
            <w:gridSpan w:val="2"/>
            <w:tcBorders>
              <w:top w:val="single" w:color="000000" w:sz="4" w:space="0"/>
              <w:left w:val="single" w:color="000000" w:sz="4" w:space="0"/>
              <w:bottom w:val="single" w:color="000000" w:sz="4" w:space="0"/>
              <w:right w:val="single" w:color="auto" w:sz="4" w:space="0"/>
            </w:tcBorders>
            <w:tcW w:w="581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江堤至三江路北延</w:t>
            </w:r>
            <w:r>
              <w:rPr>
                <w:rFonts w:ascii="宋体" w:hAnsi="宋体" w:cs="宋体"/>
                <w:color w:val="000000" w:themeColor="text1"/>
                <w:szCs w:val="21"/>
                <w:highlight w:val="none"/>
                <w14:textFill>
                  <w14:solidFill>
                    <w14:schemeClr w14:val="tx1"/>
                  </w14:solidFill>
                </w14:textFill>
              </w:rPr>
              <w:t xml:space="preserve">100</w:t>
            </w:r>
            <w:r>
              <w:rPr>
                <w:rFonts w:hint="eastAsia" w:ascii="宋体" w:hAnsi="宋体" w:cs="宋体"/>
                <w:color w:val="000000" w:themeColor="text1"/>
                <w:szCs w:val="21"/>
                <w:highlight w:val="none"/>
                <w14:textFill>
                  <w14:solidFill>
                    <w14:schemeClr w14:val="tx1"/>
                  </w14:solidFill>
                </w14:textFill>
              </w:rPr>
              <w:t xml:space="preserve">米</w:t>
            </w:r>
            <w:r/>
          </w:p>
        </w:tc>
      </w:tr>
      <w:tr>
        <w:trPr>
          <w:trHeight w:val="480"/>
        </w:trPr>
        <w:tc>
          <w:tcPr>
            <w:tcBorders>
              <w:top w:val="single" w:color="000000" w:sz="4" w:space="0"/>
              <w:left w:val="single" w:color="auto"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18</w:t>
            </w:r>
            <w:r/>
          </w:p>
        </w:tc>
        <w:tc>
          <w:tcPr>
            <w:gridSpan w:val="2"/>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三果路</w:t>
            </w:r>
            <w:r/>
          </w:p>
        </w:tc>
        <w:tc>
          <w:tcPr>
            <w:gridSpan w:val="2"/>
            <w:tcBorders>
              <w:top w:val="single" w:color="000000" w:sz="4" w:space="0"/>
              <w:left w:val="single" w:color="000000" w:sz="4" w:space="0"/>
              <w:bottom w:val="single" w:color="000000" w:sz="4" w:space="0"/>
              <w:right w:val="single" w:color="auto" w:sz="4" w:space="0"/>
            </w:tcBorders>
            <w:tcW w:w="581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大堤至龙江路</w:t>
            </w:r>
            <w:r/>
          </w:p>
        </w:tc>
      </w:tr>
      <w:tr>
        <w:trPr>
          <w:trHeight w:val="480"/>
        </w:trPr>
        <w:tc>
          <w:tcPr>
            <w:tcBorders>
              <w:top w:val="single" w:color="000000" w:sz="4" w:space="0"/>
              <w:left w:val="single" w:color="auto"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19</w:t>
            </w:r>
            <w:r/>
          </w:p>
        </w:tc>
        <w:tc>
          <w:tcPr>
            <w:gridSpan w:val="2"/>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创业路</w:t>
            </w:r>
            <w:r/>
          </w:p>
        </w:tc>
        <w:tc>
          <w:tcPr>
            <w:gridSpan w:val="2"/>
            <w:tcBorders>
              <w:top w:val="single" w:color="000000" w:sz="4" w:space="0"/>
              <w:left w:val="single" w:color="000000" w:sz="4" w:space="0"/>
              <w:bottom w:val="single" w:color="000000" w:sz="4" w:space="0"/>
              <w:right w:val="single" w:color="auto" w:sz="4" w:space="0"/>
            </w:tcBorders>
            <w:tcW w:w="581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三江路至龙江路</w:t>
            </w:r>
            <w:r/>
          </w:p>
        </w:tc>
      </w:tr>
      <w:tr>
        <w:trPr>
          <w:trHeight w:val="520"/>
        </w:trPr>
        <w:tc>
          <w:tcPr>
            <w:tcBorders>
              <w:top w:val="single" w:color="000000" w:sz="4" w:space="0"/>
              <w:left w:val="single" w:color="auto"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20</w:t>
            </w:r>
            <w:r/>
          </w:p>
        </w:tc>
        <w:tc>
          <w:tcPr>
            <w:gridSpan w:val="2"/>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新御路</w:t>
            </w:r>
            <w:r/>
          </w:p>
        </w:tc>
        <w:tc>
          <w:tcPr>
            <w:gridSpan w:val="2"/>
            <w:tcBorders>
              <w:top w:val="single" w:color="000000" w:sz="4" w:space="0"/>
              <w:left w:val="single" w:color="000000" w:sz="4" w:space="0"/>
              <w:bottom w:val="single" w:color="000000" w:sz="4" w:space="0"/>
              <w:right w:val="single" w:color="auto" w:sz="4" w:space="0"/>
            </w:tcBorders>
            <w:tcW w:w="581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白沙路至长青农化</w:t>
            </w:r>
            <w:r/>
          </w:p>
        </w:tc>
      </w:tr>
      <w:tr>
        <w:trPr>
          <w:trHeight w:val="520"/>
        </w:trPr>
        <w:tc>
          <w:tcPr>
            <w:tcBorders>
              <w:top w:val="single" w:color="000000" w:sz="4" w:space="0"/>
              <w:left w:val="single" w:color="auto"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21</w:t>
            </w:r>
            <w:r/>
          </w:p>
        </w:tc>
        <w:tc>
          <w:tcPr>
            <w:gridSpan w:val="2"/>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华彩路</w:t>
            </w:r>
            <w:r/>
          </w:p>
        </w:tc>
        <w:tc>
          <w:tcPr>
            <w:gridSpan w:val="2"/>
            <w:tcBorders>
              <w:top w:val="single" w:color="000000" w:sz="4" w:space="0"/>
              <w:left w:val="single" w:color="000000" w:sz="4" w:space="0"/>
              <w:bottom w:val="single" w:color="000000" w:sz="4" w:space="0"/>
              <w:right w:val="single" w:color="auto" w:sz="4" w:space="0"/>
            </w:tcBorders>
            <w:tcW w:w="581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新御路至沿江路</w:t>
            </w:r>
            <w:r/>
          </w:p>
        </w:tc>
      </w:tr>
      <w:tr>
        <w:trPr>
          <w:trHeight w:val="520"/>
        </w:trPr>
        <w:tc>
          <w:tcPr>
            <w:tcBorders>
              <w:top w:val="single" w:color="000000" w:sz="4" w:space="0"/>
              <w:left w:val="single" w:color="auto"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22</w:t>
            </w:r>
            <w:r/>
          </w:p>
        </w:tc>
        <w:tc>
          <w:tcPr>
            <w:gridSpan w:val="2"/>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龙江路</w:t>
            </w:r>
            <w:r/>
          </w:p>
        </w:tc>
        <w:tc>
          <w:tcPr>
            <w:gridSpan w:val="2"/>
            <w:tcBorders>
              <w:top w:val="single" w:color="000000" w:sz="4" w:space="0"/>
              <w:left w:val="single" w:color="000000" w:sz="4" w:space="0"/>
              <w:bottom w:val="single" w:color="000000" w:sz="4" w:space="0"/>
              <w:right w:val="single" w:color="auto" w:sz="4" w:space="0"/>
            </w:tcBorders>
            <w:tcW w:w="581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三果路至中海人才公寓</w:t>
            </w:r>
            <w:r/>
          </w:p>
        </w:tc>
      </w:tr>
      <w:tr>
        <w:trPr>
          <w:trHeight w:val="520"/>
        </w:trPr>
        <w:tc>
          <w:tcPr>
            <w:tcBorders>
              <w:top w:val="single" w:color="000000" w:sz="4" w:space="0"/>
              <w:left w:val="single" w:color="auto"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23</w:t>
            </w:r>
            <w:r/>
          </w:p>
        </w:tc>
        <w:tc>
          <w:tcPr>
            <w:gridSpan w:val="2"/>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亨达路</w:t>
            </w:r>
            <w:r/>
          </w:p>
        </w:tc>
        <w:tc>
          <w:tcPr>
            <w:gridSpan w:val="2"/>
            <w:tcBorders>
              <w:top w:val="single" w:color="000000" w:sz="4" w:space="0"/>
              <w:left w:val="single" w:color="000000" w:sz="4" w:space="0"/>
              <w:bottom w:val="single" w:color="000000" w:sz="4" w:space="0"/>
              <w:right w:val="single" w:color="auto" w:sz="4" w:space="0"/>
            </w:tcBorders>
            <w:tcW w:w="581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新港路至生态修复基地</w:t>
            </w:r>
            <w:r/>
          </w:p>
        </w:tc>
      </w:tr>
      <w:tr>
        <w:trPr>
          <w:trHeight w:val="520"/>
        </w:trPr>
        <w:tc>
          <w:tcPr>
            <w:tcBorders>
              <w:top w:val="single" w:color="000000" w:sz="4" w:space="0"/>
              <w:left w:val="single" w:color="auto"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24</w:t>
            </w:r>
            <w:r/>
          </w:p>
        </w:tc>
        <w:tc>
          <w:tcPr>
            <w:gridSpan w:val="2"/>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海螺路</w:t>
            </w:r>
            <w:r/>
          </w:p>
        </w:tc>
        <w:tc>
          <w:tcPr>
            <w:gridSpan w:val="2"/>
            <w:tcBorders>
              <w:top w:val="single" w:color="000000" w:sz="4" w:space="0"/>
              <w:left w:val="single" w:color="000000" w:sz="4" w:space="0"/>
              <w:bottom w:val="single" w:color="000000" w:sz="4" w:space="0"/>
              <w:right w:val="single" w:color="auto" w:sz="4" w:space="0"/>
            </w:tcBorders>
            <w:tcW w:w="581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疏港路至海螺水泥厂</w:t>
            </w:r>
            <w:r/>
          </w:p>
        </w:tc>
      </w:tr>
      <w:tr>
        <w:trPr>
          <w:trHeight w:val="500"/>
        </w:trPr>
        <w:tc>
          <w:tcPr>
            <w:tcBorders>
              <w:top w:val="single" w:color="000000" w:sz="4" w:space="0"/>
              <w:left w:val="single" w:color="auto" w:sz="4" w:space="0"/>
              <w:bottom w:val="single" w:color="000000"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25</w:t>
            </w:r>
            <w:r/>
          </w:p>
        </w:tc>
        <w:tc>
          <w:tcPr>
            <w:gridSpan w:val="2"/>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疏港路</w:t>
            </w:r>
            <w:r/>
          </w:p>
        </w:tc>
        <w:tc>
          <w:tcPr>
            <w:gridSpan w:val="2"/>
            <w:tcBorders>
              <w:top w:val="single" w:color="000000" w:sz="4" w:space="0"/>
              <w:left w:val="single" w:color="000000" w:sz="4" w:space="0"/>
              <w:bottom w:val="single" w:color="000000" w:sz="4" w:space="0"/>
              <w:right w:val="single" w:color="auto" w:sz="4" w:space="0"/>
            </w:tcBorders>
            <w:tcW w:w="5819"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浦头镇承仪村口红绿灯至海螺路</w:t>
            </w:r>
            <w:r/>
          </w:p>
        </w:tc>
      </w:tr>
      <w:tr>
        <w:trPr>
          <w:trHeight w:val="480"/>
        </w:trPr>
        <w:tc>
          <w:tcPr>
            <w:tcBorders>
              <w:top w:val="single" w:color="000000" w:sz="4" w:space="0"/>
              <w:left w:val="single" w:color="auto" w:sz="4" w:space="0"/>
              <w:bottom w:val="single" w:color="auto" w:sz="4" w:space="0"/>
              <w:right w:val="single" w:color="000000" w:sz="4" w:space="0"/>
            </w:tcBorders>
            <w:tcW w:w="77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26</w:t>
            </w:r>
            <w:r/>
          </w:p>
        </w:tc>
        <w:tc>
          <w:tcPr>
            <w:gridSpan w:val="2"/>
            <w:tcBorders>
              <w:top w:val="single" w:color="000000" w:sz="4" w:space="0"/>
              <w:left w:val="single" w:color="000000" w:sz="4" w:space="0"/>
              <w:bottom w:val="single" w:color="auto" w:sz="4" w:space="0"/>
              <w:right w:val="single" w:color="000000" w:sz="4" w:space="0"/>
            </w:tcBorders>
            <w:tcW w:w="2513"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昌吴路</w:t>
            </w:r>
            <w:r/>
          </w:p>
        </w:tc>
        <w:tc>
          <w:tcPr>
            <w:gridSpan w:val="2"/>
            <w:tcBorders>
              <w:top w:val="single" w:color="000000" w:sz="4" w:space="0"/>
              <w:left w:val="single" w:color="000000" w:sz="4" w:space="0"/>
              <w:bottom w:val="single" w:color="auto" w:sz="4" w:space="0"/>
              <w:right w:val="single" w:color="auto" w:sz="4" w:space="0"/>
            </w:tcBorders>
            <w:tcW w:w="5819" w:type="dxa"/>
            <w:vAlign w:val="center"/>
            <w:textDirection w:val="lrTb"/>
            <w:noWrap/>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吴桥界至波斯路</w:t>
            </w:r>
            <w:r/>
          </w:p>
        </w:tc>
      </w:tr>
    </w:tbl>
    <w:p>
      <w:pPr>
        <w:rPr>
          <w:rFonts w:ascii="宋体" w:cs="宋体"/>
          <w:b/>
          <w:bCs/>
          <w:color w:val="000000" w:themeColor="text1"/>
          <w:szCs w:val="21"/>
          <w:highlight w:val="none"/>
          <w14:textFill>
            <w14:solidFill>
              <w14:schemeClr w14:val="tx1"/>
            </w14:solidFill>
          </w14:textFill>
        </w:rPr>
      </w:pPr>
      <w:r>
        <w:rPr>
          <w:rFonts w:ascii="宋体" w:cs="宋体"/>
          <w:b/>
          <w:bCs/>
          <w:color w:val="000000" w:themeColor="text1"/>
          <w:szCs w:val="21"/>
          <w:highlight w:val="none"/>
          <w14:textFill>
            <w14:solidFill>
              <w14:schemeClr w14:val="tx1"/>
            </w14:solidFill>
          </w14:textFill>
        </w:rPr>
      </w:r>
      <w:r/>
    </w:p>
    <w:p>
      <w:pPr>
        <w:pStyle w:val="811"/>
        <w:rPr>
          <w:rFonts w:hint="default" w:ascii="宋体" w:cs="宋体"/>
          <w:b/>
          <w:bCs/>
          <w:color w:val="ff0000"/>
          <w:szCs w:val="21"/>
          <w:highlight w:val="none"/>
          <w:lang w:val="en-US" w:eastAsia="zh-CN"/>
        </w:rPr>
      </w:pPr>
      <w:r>
        <w:rPr>
          <w:rFonts w:hint="eastAsia" w:ascii="宋体" w:cs="宋体"/>
          <w:b/>
          <w:bCs/>
          <w:color w:val="ff0000"/>
          <w:szCs w:val="21"/>
          <w:highlight w:val="none"/>
          <w:lang w:val="en-US" w:eastAsia="zh-CN"/>
        </w:rPr>
        <w:t xml:space="preserve">备注：包2标段有部分范围正在履约中，中标单位合同起始日至原履约单位合同期满日期间产生的作业费用，由中标单位支付或在中标金额中核减。范围如下:</w:t>
      </w:r>
      <w:r/>
    </w:p>
    <w:p>
      <w:pPr>
        <w:pStyle w:val="811"/>
        <w:numPr>
          <w:ilvl w:val="0"/>
          <w:numId w:val="2"/>
        </w:numPr>
        <w:ind w:left="420"/>
        <w:rPr>
          <w:rFonts w:hint="eastAsia" w:ascii="宋体" w:cs="宋体"/>
          <w:b/>
          <w:bCs/>
          <w:color w:val="ff0000"/>
          <w:szCs w:val="21"/>
          <w:highlight w:val="none"/>
          <w:lang w:val="en-US" w:eastAsia="zh-CN"/>
        </w:rPr>
      </w:pPr>
      <w:r>
        <w:rPr>
          <w:rFonts w:hint="eastAsia" w:ascii="宋体" w:hAnsi="宋体" w:cs="宋体"/>
          <w:b/>
          <w:bCs/>
          <w:color w:val="ff0000"/>
          <w:szCs w:val="21"/>
          <w:highlight w:val="none"/>
        </w:rPr>
        <w:t xml:space="preserve">作业区域</w:t>
      </w:r>
      <w:r>
        <w:rPr>
          <w:rFonts w:hint="eastAsia" w:ascii="宋体" w:hAnsi="宋体" w:cs="宋体"/>
          <w:b/>
          <w:bCs/>
          <w:color w:val="ff0000"/>
          <w:szCs w:val="21"/>
          <w:highlight w:val="none"/>
          <w:lang w:val="en-US" w:eastAsia="zh-CN"/>
        </w:rPr>
        <w:t xml:space="preserve">3：</w:t>
      </w:r>
      <w:r>
        <w:rPr>
          <w:rFonts w:hint="eastAsia" w:ascii="宋体" w:cs="宋体"/>
          <w:b/>
          <w:bCs/>
          <w:color w:val="ff0000"/>
          <w:szCs w:val="21"/>
          <w:highlight w:val="none"/>
          <w:lang w:val="en-US" w:eastAsia="zh-CN"/>
        </w:rPr>
        <w:t xml:space="preserve">工业园区：（</w:t>
      </w:r>
      <w:r>
        <w:rPr>
          <w:rFonts w:hint="eastAsia" w:ascii="宋体" w:hAnsi="宋体" w:cs="宋体"/>
          <w:color w:val="ff0000"/>
          <w:szCs w:val="21"/>
          <w:highlight w:val="none"/>
        </w:rPr>
        <w:t xml:space="preserve">一、二期院内</w:t>
      </w:r>
      <w:r>
        <w:rPr>
          <w:rFonts w:hint="eastAsia" w:ascii="宋体" w:cs="宋体"/>
          <w:b/>
          <w:bCs/>
          <w:color w:val="ff0000"/>
          <w:szCs w:val="21"/>
          <w:highlight w:val="none"/>
          <w:lang w:val="en-US" w:eastAsia="zh-CN"/>
        </w:rPr>
        <w:t xml:space="preserve">）合同期至2026年2月28日止；</w:t>
      </w:r>
      <w:r/>
    </w:p>
    <w:p>
      <w:pPr>
        <w:pStyle w:val="811"/>
        <w:numPr>
          <w:ilvl w:val="0"/>
          <w:numId w:val="2"/>
        </w:numPr>
        <w:ind w:left="420"/>
        <w:rPr>
          <w:rFonts w:hint="eastAsia" w:eastAsia="宋体"/>
          <w:lang w:val="en-US" w:eastAsia="zh-CN"/>
        </w:rPr>
      </w:pPr>
      <w:r>
        <w:rPr>
          <w:rFonts w:hint="eastAsia" w:ascii="宋体" w:hAnsi="宋体" w:cs="宋体"/>
          <w:b/>
          <w:bCs/>
          <w:color w:val="ff0000"/>
          <w:szCs w:val="21"/>
          <w:highlight w:val="none"/>
        </w:rPr>
        <w:t xml:space="preserve">作业区域</w:t>
      </w:r>
      <w:r>
        <w:rPr>
          <w:rFonts w:hint="eastAsia" w:ascii="宋体" w:hAnsi="宋体" w:cs="宋体"/>
          <w:b/>
          <w:bCs/>
          <w:color w:val="ff0000"/>
          <w:szCs w:val="21"/>
          <w:highlight w:val="none"/>
          <w:lang w:val="en-US" w:eastAsia="zh-CN"/>
        </w:rPr>
        <w:t xml:space="preserve">11：</w:t>
      </w:r>
      <w:r>
        <w:rPr>
          <w:rFonts w:hint="eastAsia" w:ascii="宋体" w:cs="宋体"/>
          <w:b/>
          <w:bCs/>
          <w:color w:val="ff0000"/>
          <w:szCs w:val="21"/>
          <w:highlight w:val="none"/>
          <w:lang w:val="en-US" w:eastAsia="zh-CN"/>
        </w:rPr>
        <w:t xml:space="preserve">安大路（</w:t>
      </w:r>
      <w:r>
        <w:rPr>
          <w:rFonts w:hint="eastAsia" w:ascii="宋体" w:hAnsi="宋体" w:cs="宋体"/>
          <w:color w:val="ff0000"/>
          <w:szCs w:val="21"/>
          <w:highlight w:val="none"/>
        </w:rPr>
        <w:t xml:space="preserve">大桥</w:t>
      </w:r>
      <w:r>
        <w:rPr>
          <w:rFonts w:hint="eastAsia" w:ascii="宋体" w:hAnsi="宋体" w:cs="宋体"/>
          <w:color w:val="ff0000"/>
          <w:szCs w:val="21"/>
          <w:highlight w:val="none"/>
          <w:lang w:val="en-US" w:eastAsia="zh-CN"/>
        </w:rPr>
        <w:t xml:space="preserve">互</w:t>
      </w:r>
      <w:r>
        <w:rPr>
          <w:rFonts w:hint="eastAsia" w:ascii="宋体" w:hAnsi="宋体" w:cs="宋体"/>
          <w:color w:val="ff0000"/>
          <w:szCs w:val="21"/>
          <w:highlight w:val="none"/>
        </w:rPr>
        <w:t xml:space="preserve">通至江都港</w:t>
      </w:r>
      <w:r>
        <w:rPr>
          <w:rFonts w:hint="eastAsia" w:ascii="宋体" w:cs="宋体"/>
          <w:b/>
          <w:bCs/>
          <w:color w:val="ff0000"/>
          <w:szCs w:val="21"/>
          <w:highlight w:val="none"/>
          <w:lang w:val="en-US" w:eastAsia="zh-CN"/>
        </w:rPr>
        <w:t xml:space="preserve">）合同期至2026年3月31日止。</w:t>
      </w:r>
      <w:r/>
    </w:p>
    <w:p>
      <w:pPr>
        <w:rPr>
          <w:rFonts w:ascii="宋体" w:cs="宋体"/>
          <w:b/>
          <w:bCs/>
          <w:color w:val="000000" w:themeColor="text1"/>
          <w:szCs w:val="21"/>
          <w:highlight w:val="none"/>
          <w14:textFill>
            <w14:solidFill>
              <w14:schemeClr w14:val="tx1"/>
            </w14:solidFill>
          </w14:textFill>
        </w:rPr>
      </w:pPr>
      <w:r>
        <w:rPr>
          <w:rFonts w:ascii="宋体" w:cs="宋体"/>
          <w:b/>
          <w:bCs/>
          <w:color w:val="000000" w:themeColor="text1"/>
          <w:szCs w:val="21"/>
          <w:highlight w:val="none"/>
          <w14:textFill>
            <w14:solidFill>
              <w14:schemeClr w14:val="tx1"/>
            </w14:solidFill>
          </w14:textFill>
        </w:rPr>
        <w:br w:type="page" w:clear="all"/>
      </w:r>
      <w:r/>
    </w:p>
    <w:p>
      <w:pPr>
        <w:rPr>
          <w:rFonts w:asci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包</w:t>
      </w:r>
      <w:r>
        <w:rPr>
          <w:rFonts w:ascii="宋体" w:hAnsi="宋体" w:cs="宋体"/>
          <w:b/>
          <w:bCs/>
          <w:color w:val="000000" w:themeColor="text1"/>
          <w:szCs w:val="21"/>
          <w:highlight w:val="none"/>
          <w14:textFill>
            <w14:solidFill>
              <w14:schemeClr w14:val="tx1"/>
            </w14:solidFill>
          </w14:textFill>
        </w:rPr>
        <w:t xml:space="preserve">2</w:t>
      </w:r>
      <w:r>
        <w:rPr>
          <w:rFonts w:hint="eastAsia"/>
          <w:b/>
          <w:bCs/>
          <w:color w:val="000000" w:themeColor="text1"/>
          <w:highlight w:val="none"/>
          <w14:textFill>
            <w14:solidFill>
              <w14:schemeClr w14:val="tx1"/>
            </w14:solidFill>
          </w14:textFill>
        </w:rPr>
        <w:t xml:space="preserve">作业内容：</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）镇区道路清扫保洁：服务区域内机动车道、非机动车道、人行道、背街小巷、桥梁、高速出入口等，“横向到边，纵向到底”清扫保洁。</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）生活垃圾收运：每日定时定点巡回收集区域内生活垃圾、其他垃圾、有害垃圾和可回收物，并运输至中转站处置。</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）道路机械化保洁作业：区域内机动车道、非机动车道、人行道可进行机械化洗扫的，应扫尽扫。</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）垃圾容器清洗：服务区域内所有的的垃圾桶、果壳箱擦拭、清洗。</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）小广告清理：服务区域内墙面、地面、电线杆、公交站台等处的小广告清理。</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）绿化带保洁：服务区域内道路两侧绿化隔离带、景观绿岛等捡拾保洁。</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）大气防控作业：根据大气防控的作业要求开展相关工作，常态化洒水降尘。</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）公厕保洁：服务区域内所有公厕进行巡回保洁。</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）中转站：建筑垃圾临堆点运营管理作业：配备专职操作员进行日常运营管理。</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）大件垃圾、建筑装修垃圾及乱倒垃圾处置运行服务：大件垃圾、建筑装修垃圾、乱倒垃圾等进行规范清运处置。</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）生活垃圾分类宣传和收运：按分类要求收集和运输，定期开展生活垃圾分类宣传、指导。</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）重大活动保障、突发事件、恶劣天气、扫雪、除冰、除淤等应急处理作业。</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绿化养护：工业园区全域（含安大路西侧小树林）、一品公馆东门外小树林，中小企业园全域，镇域内疏港路全程）。</w:t>
      </w:r>
      <w:r/>
    </w:p>
    <w:p>
      <w:pPr>
        <w:ind w:left="210" w:firstLine="211"/>
        <w:jc w:val="left"/>
        <w:spacing w:line="360" w:lineRule="auto"/>
        <w:rPr>
          <w:rFonts w:asci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二、项目作业最低核定人数及车辆最低配置（辆、台）</w:t>
      </w:r>
      <w:r/>
    </w:p>
    <w:tbl>
      <w:tblPr>
        <w:tblStyle w:val="81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947"/>
        <w:gridCol w:w="867"/>
        <w:gridCol w:w="867"/>
        <w:gridCol w:w="867"/>
        <w:gridCol w:w="867"/>
        <w:gridCol w:w="867"/>
        <w:gridCol w:w="867"/>
        <w:gridCol w:w="867"/>
        <w:gridCol w:w="867"/>
        <w:gridCol w:w="868"/>
      </w:tblGrid>
      <w:tr>
        <w:trPr>
          <w:jc w:val="center"/>
          <w:trHeight w:val="616"/>
        </w:trPr>
        <w:tc>
          <w:tcPr>
            <w:gridSpan w:val="10"/>
            <w:tcBorders>
              <w:top w:val="single" w:color="auto" w:sz="4" w:space="0"/>
              <w:left w:val="single" w:color="auto" w:sz="4" w:space="0"/>
              <w:bottom w:val="single" w:color="000000" w:sz="4" w:space="0"/>
              <w:right w:val="single" w:color="auto" w:sz="4" w:space="0"/>
            </w:tcBorders>
            <w:tcW w:w="9751"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包2市场化最低核定人数</w:t>
            </w:r>
            <w:r/>
          </w:p>
        </w:tc>
      </w:tr>
      <w:tr>
        <w:trPr>
          <w:jc w:val="center"/>
          <w:trHeight w:val="708"/>
        </w:trPr>
        <w:tc>
          <w:tcPr>
            <w:tcBorders>
              <w:top w:val="single" w:color="000000" w:sz="4" w:space="0"/>
              <w:left w:val="single" w:color="auto" w:sz="4" w:space="0"/>
              <w:bottom w:val="single" w:color="000000" w:sz="4" w:space="0"/>
              <w:right w:val="single" w:color="000000" w:sz="4" w:space="0"/>
            </w:tcBorders>
            <w:tcW w:w="1947"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包号</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管理人员</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保洁人员</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中转站操作工</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建筑垃圾临时堆放点</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驾驶员</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垃圾清运工</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绿化养护</w:t>
            </w:r>
            <w:r/>
          </w:p>
        </w:tc>
        <w:tc>
          <w:tcPr>
            <w:tcBorders>
              <w:top w:val="single" w:color="000000" w:sz="4" w:space="0"/>
              <w:left w:val="single" w:color="000000" w:sz="4" w:space="0"/>
              <w:bottom w:val="single" w:color="000000" w:sz="4" w:space="0"/>
              <w:right w:val="single" w:color="auto" w:sz="4" w:space="0"/>
            </w:tcBorders>
            <w:tcW w:w="868"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合计</w:t>
            </w:r>
            <w:r/>
          </w:p>
        </w:tc>
      </w:tr>
      <w:tr>
        <w:trPr>
          <w:jc w:val="center"/>
          <w:trHeight w:val="1483"/>
        </w:trPr>
        <w:tc>
          <w:tcPr>
            <w:tcBorders>
              <w:top w:val="single" w:color="000000" w:sz="4" w:space="0"/>
              <w:left w:val="single" w:color="auto" w:sz="4" w:space="0"/>
              <w:bottom w:val="single" w:color="auto" w:sz="4" w:space="0"/>
              <w:right w:val="single" w:color="000000" w:sz="4" w:space="0"/>
            </w:tcBorders>
            <w:tcW w:w="1947" w:type="dxa"/>
            <w:vAlign w:val="center"/>
            <w:textDirection w:val="lrTb"/>
            <w:noWrap w:val="false"/>
          </w:tcPr>
          <w:p>
            <w:pPr>
              <w:jc w:val="center"/>
              <w:widowControl/>
              <w:rPr>
                <w:rFonts w:hint="eastAsia" w:ascii="宋体" w:hAnsi="宋体" w:eastAsia="宋体" w:cs="宋体"/>
                <w:strike/>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包2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安大路以东（昌松、嘶马镇区、工业园区、中小企业园、果园场）</w:t>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60 </w:t>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auto" w:sz="4" w:space="0"/>
              <w:right w:val="single" w:color="auto" w:sz="4" w:space="0"/>
            </w:tcBorders>
            <w:tcW w:w="86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76</w:t>
            </w:r>
            <w:r/>
          </w:p>
        </w:tc>
      </w:tr>
    </w:tbl>
    <w:p>
      <w:pP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br w:type="page" w:clear="all"/>
      </w:r>
      <w:r/>
    </w:p>
    <w:p>
      <w:pPr>
        <w:pStyle w:val="8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19"/>
        <w:tblpPr w:horzAnchor="page" w:tblpX="1160" w:vertAnchor="text" w:tblpY="512"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731"/>
        <w:gridCol w:w="1002"/>
        <w:gridCol w:w="1002"/>
        <w:gridCol w:w="1002"/>
        <w:gridCol w:w="1002"/>
        <w:gridCol w:w="1002"/>
        <w:gridCol w:w="1002"/>
        <w:gridCol w:w="1002"/>
        <w:gridCol w:w="1007"/>
      </w:tblGrid>
      <w:tr>
        <w:trPr>
          <w:trHeight w:val="277"/>
        </w:trPr>
        <w:tc>
          <w:tcPr>
            <w:gridSpan w:val="9"/>
            <w:shd w:val="clear" w:color="auto" w:fill="ffffff"/>
            <w:tcBorders>
              <w:top w:val="single" w:color="000000" w:sz="4" w:space="0"/>
              <w:left w:val="single" w:color="000000" w:sz="4" w:space="0"/>
              <w:bottom w:val="single" w:color="000000" w:sz="4" w:space="0"/>
              <w:right w:val="single" w:color="000000" w:sz="4" w:space="0"/>
            </w:tcBorders>
            <w:tcW w:w="9752" w:type="dxa"/>
            <w:vAlign w:val="bottom"/>
            <w:textDirection w:val="lrTb"/>
            <w:noWrap/>
          </w:tcPr>
          <w:p>
            <w:pPr>
              <w:jc w:val="center"/>
              <w:widowControl/>
              <w:rPr>
                <w:rFonts w:ascii="宋体" w:cs="宋体"/>
                <w:b w:val="0"/>
                <w:bCs w:val="0"/>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包</w:t>
            </w:r>
            <w:r>
              <w:rPr>
                <w:rFonts w:ascii="宋体" w:hAnsi="宋体" w:cs="宋体"/>
                <w:b/>
                <w:bCs/>
                <w:color w:val="000000" w:themeColor="text1"/>
                <w:sz w:val="28"/>
                <w:szCs w:val="28"/>
                <w:highlight w:val="none"/>
                <w14:textFill>
                  <w14:solidFill>
                    <w14:schemeClr w14:val="tx1"/>
                  </w14:solidFill>
                </w14:textFill>
              </w:rPr>
              <w:t xml:space="preserve">2</w:t>
            </w:r>
            <w:r>
              <w:rPr>
                <w:rFonts w:hint="eastAsia" w:ascii="宋体" w:hAnsi="宋体" w:cs="宋体"/>
                <w:b/>
                <w:bCs/>
                <w:color w:val="000000" w:themeColor="text1"/>
                <w:sz w:val="28"/>
                <w:szCs w:val="28"/>
                <w:highlight w:val="none"/>
                <w14:textFill>
                  <w14:solidFill>
                    <w14:schemeClr w14:val="tx1"/>
                  </w14:solidFill>
                </w14:textFill>
              </w:rPr>
              <w:t xml:space="preserve">车辆最低配置（辆、台）</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包号</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小型高压冲洗车</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洗扫车</w:t>
            </w:r>
            <w:r>
              <w:rPr>
                <w:rFonts w:ascii="宋体" w:hAnsi="宋体" w:cs="宋体"/>
                <w:b/>
                <w:bCs/>
                <w:color w:val="000000" w:themeColor="text1"/>
                <w:sz w:val="22"/>
                <w:highlight w:val="none"/>
                <w14:textFill>
                  <w14:solidFill>
                    <w14:schemeClr w14:val="tx1"/>
                  </w14:solidFill>
                </w14:textFill>
              </w:rPr>
              <w:t xml:space="preserve">18t</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洒水车</w:t>
            </w:r>
            <w:r>
              <w:rPr>
                <w:rFonts w:ascii="宋体" w:hAnsi="宋体" w:cs="宋体"/>
                <w:b/>
                <w:bCs/>
                <w:color w:val="000000" w:themeColor="text1"/>
                <w:sz w:val="22"/>
                <w:highlight w:val="none"/>
                <w14:textFill>
                  <w14:solidFill>
                    <w14:schemeClr w14:val="tx1"/>
                  </w14:solidFill>
                </w14:textFill>
              </w:rPr>
              <w:t xml:space="preserve">18t</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电动三、四轮侧挂车</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b/>
                <w:bCs/>
                <w:color w:val="000000" w:themeColor="text1"/>
                <w:highlight w:val="none"/>
                <w14:textFill>
                  <w14:solidFill>
                    <w14:schemeClr w14:val="tx1"/>
                  </w14:solidFill>
                </w14:textFill>
              </w:rPr>
              <w:t xml:space="preserve">7</w:t>
            </w:r>
            <w:r>
              <w:rPr>
                <w:rFonts w:hint="eastAsia" w:ascii="MS Gothic" w:hAnsi="MS Gothic" w:eastAsia="MS Gothic" w:cs="MS Gothic"/>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全封闭收集车</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电动三轮保洁车</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装载机</w:t>
            </w:r>
            <w:r>
              <w:rPr>
                <w:b/>
                <w:bCs/>
                <w:color w:val="000000" w:themeColor="text1"/>
                <w:highlight w:val="none"/>
                <w14:textFill>
                  <w14:solidFill>
                    <w14:schemeClr w14:val="tx1"/>
                  </w14:solidFill>
                </w14:textFill>
              </w:rPr>
              <w:t xml:space="preserve">13</w:t>
            </w:r>
            <w:r>
              <w:rPr>
                <w:rFonts w:ascii="宋体" w:hAnsi="宋体" w:cs="宋体"/>
                <w:b/>
                <w:bCs/>
                <w:color w:val="000000" w:themeColor="text1"/>
                <w:sz w:val="22"/>
                <w:highlight w:val="none"/>
                <w14:textFill>
                  <w14:solidFill>
                    <w14:schemeClr w14:val="tx1"/>
                  </w14:solidFill>
                </w14:textFill>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widowControl/>
              <w:rPr>
                <w:rFonts w:ascii="宋体" w:cs="宋体"/>
                <w:b/>
                <w:bCs/>
                <w:color w:val="000000" w:themeColor="text1"/>
                <w:sz w:val="22"/>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垃圾桶（</w:t>
            </w:r>
            <w:r>
              <w:rPr>
                <w:b/>
                <w:bCs/>
                <w:color w:val="000000" w:themeColor="text1"/>
                <w:highlight w:val="none"/>
                <w14:textFill>
                  <w14:solidFill>
                    <w14:schemeClr w14:val="tx1"/>
                  </w14:solidFill>
                </w14:textFill>
              </w:rPr>
              <w:t xml:space="preserve">240L</w:t>
            </w:r>
            <w:r>
              <w:rPr>
                <w:rFonts w:hint="eastAsia"/>
                <w:b/>
                <w:bCs/>
                <w:color w:val="000000" w:themeColor="text1"/>
                <w:highlight w:val="none"/>
                <w14:textFill>
                  <w14:solidFill>
                    <w14:schemeClr w14:val="tx1"/>
                  </w14:solidFill>
                </w14:textFill>
              </w:rPr>
              <w:t xml:space="preserve">）</w:t>
            </w:r>
            <w:r/>
          </w:p>
        </w:tc>
      </w:tr>
      <w:tr>
        <w:trPr>
          <w:trHeight w:val="1526"/>
        </w:trPr>
        <w:tc>
          <w:tcPr>
            <w:shd w:val="clear" w:color="auto" w:fill="ffffff"/>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widowControl/>
              <w:rPr>
                <w:rFonts w:ascii="宋体" w:cs="宋体"/>
                <w:b w:val="0"/>
                <w:bCs w:val="0"/>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包</w:t>
            </w:r>
            <w:r>
              <w:rPr>
                <w:rFonts w:ascii="宋体" w:hAnsi="宋体" w:cs="宋体"/>
                <w:b/>
                <w:bCs/>
                <w:color w:val="000000" w:themeColor="text1"/>
                <w:sz w:val="22"/>
                <w:highlight w:val="none"/>
                <w14:textFill>
                  <w14:solidFill>
                    <w14:schemeClr w14:val="tx1"/>
                  </w14:solidFill>
                </w14:textFill>
              </w:rPr>
              <w:t xml:space="preserve">2</w:t>
            </w:r>
            <w:r>
              <w:rPr>
                <w:rFonts w:hint="eastAsia" w:ascii="宋体" w:hAnsi="宋体" w:cs="宋体"/>
                <w:b/>
                <w:bCs/>
                <w:color w:val="000000" w:themeColor="text1"/>
                <w:sz w:val="22"/>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安大路以东（大桥、昌松、嘶马集镇、工业园区、中小企业园、果园场）</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val="0"/>
                <w:bCs w:val="0"/>
                <w:color w:val="000000" w:themeColor="text1"/>
                <w:sz w:val="22"/>
                <w:highlight w:val="none"/>
                <w14:textFill>
                  <w14:solidFill>
                    <w14:schemeClr w14:val="tx1"/>
                  </w14:solidFill>
                </w14:textFill>
              </w:rPr>
            </w:pPr>
            <w:r>
              <w:rPr>
                <w:rFonts w:ascii="宋体" w:hAnsi="宋体" w:cs="宋体"/>
                <w:b w:val="0"/>
                <w:bCs w:val="0"/>
                <w:color w:val="000000" w:themeColor="text1"/>
                <w:sz w:val="22"/>
                <w:highlight w:val="none"/>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val="0"/>
                <w:bCs w:val="0"/>
                <w:color w:val="000000" w:themeColor="text1"/>
                <w:sz w:val="22"/>
                <w:highlight w:val="none"/>
                <w14:textFill>
                  <w14:solidFill>
                    <w14:schemeClr w14:val="tx1"/>
                  </w14:solidFill>
                </w14:textFill>
              </w:rPr>
            </w:pPr>
            <w:r>
              <w:rPr>
                <w:rFonts w:ascii="宋体" w:hAnsi="宋体" w:cs="宋体"/>
                <w:b w:val="0"/>
                <w:bCs w:val="0"/>
                <w:color w:val="000000" w:themeColor="text1"/>
                <w:sz w:val="22"/>
                <w:highlight w:val="none"/>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val="0"/>
                <w:bCs w:val="0"/>
                <w:color w:val="000000" w:themeColor="text1"/>
                <w:sz w:val="22"/>
                <w:highlight w:val="none"/>
                <w14:textFill>
                  <w14:solidFill>
                    <w14:schemeClr w14:val="tx1"/>
                  </w14:solidFill>
                </w14:textFill>
              </w:rPr>
            </w:pPr>
            <w:r>
              <w:rPr>
                <w:rFonts w:ascii="宋体" w:hAnsi="宋体" w:cs="宋体"/>
                <w:b w:val="0"/>
                <w:bCs w:val="0"/>
                <w:color w:val="000000" w:themeColor="text1"/>
                <w:sz w:val="22"/>
                <w:highlight w:val="none"/>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val="0"/>
                <w:bCs w:val="0"/>
                <w:color w:val="000000" w:themeColor="text1"/>
                <w:sz w:val="22"/>
                <w:highlight w:val="none"/>
                <w14:textFill>
                  <w14:solidFill>
                    <w14:schemeClr w14:val="tx1"/>
                  </w14:solidFill>
                </w14:textFill>
              </w:rPr>
            </w:pPr>
            <w:r>
              <w:rPr>
                <w:rFonts w:ascii="宋体" w:hAnsi="宋体" w:cs="宋体"/>
                <w:b w:val="0"/>
                <w:bCs w:val="0"/>
                <w:color w:val="000000" w:themeColor="text1"/>
                <w:sz w:val="22"/>
                <w:highlight w:val="none"/>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ascii="宋体" w:cs="宋体"/>
                <w:b w:val="0"/>
                <w:bCs w:val="0"/>
                <w:color w:val="000000" w:themeColor="text1"/>
                <w:sz w:val="22"/>
                <w:highlight w:val="none"/>
                <w14:textFill>
                  <w14:solidFill>
                    <w14:schemeClr w14:val="tx1"/>
                  </w14:solidFill>
                </w14:textFill>
              </w:rPr>
            </w:pPr>
            <w:r>
              <w:rPr>
                <w:rFonts w:ascii="宋体" w:hAnsi="宋体" w:cs="宋体"/>
                <w:b w:val="0"/>
                <w:bCs w:val="0"/>
                <w:color w:val="000000" w:themeColor="text1"/>
                <w:sz w:val="22"/>
                <w:highlight w:val="none"/>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widowControl/>
              <w:rPr>
                <w:rFonts w:ascii="等线" w:hAnsi="等线" w:eastAsia="等线" w:cs="等线"/>
                <w:b w:val="0"/>
                <w:bCs w:val="0"/>
                <w:color w:val="000000" w:themeColor="text1"/>
                <w:sz w:val="22"/>
                <w:highlight w:val="none"/>
                <w14:textFill>
                  <w14:solidFill>
                    <w14:schemeClr w14:val="tx1"/>
                  </w14:solidFill>
                </w14:textFill>
              </w:rPr>
            </w:pPr>
            <w:r>
              <w:rPr>
                <w:rFonts w:ascii="等线" w:hAnsi="等线" w:eastAsia="等线" w:cs="等线"/>
                <w:b w:val="0"/>
                <w:bCs w:val="0"/>
                <w:color w:val="000000" w:themeColor="text1"/>
                <w:sz w:val="22"/>
                <w:highlight w:val="none"/>
                <w14:textFill>
                  <w14:solidFill>
                    <w14:schemeClr w14:val="tx1"/>
                  </w14:solidFill>
                </w14:textFill>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jc w:val="center"/>
              <w:widowControl/>
              <w:rPr>
                <w:rFonts w:ascii="等线" w:hAnsi="等线" w:eastAsia="等线" w:cs="等线"/>
                <w:b w:val="0"/>
                <w:bCs w:val="0"/>
                <w:color w:val="000000" w:themeColor="text1"/>
                <w:sz w:val="22"/>
                <w:highlight w:val="none"/>
                <w14:textFill>
                  <w14:solidFill>
                    <w14:schemeClr w14:val="tx1"/>
                  </w14:solidFill>
                </w14:textFill>
              </w:rPr>
            </w:pPr>
            <w:r>
              <w:rPr>
                <w:rFonts w:ascii="等线" w:hAnsi="等线" w:eastAsia="等线" w:cs="等线"/>
                <w:b w:val="0"/>
                <w:bCs w:val="0"/>
                <w:color w:val="000000" w:themeColor="text1"/>
                <w:sz w:val="22"/>
                <w:highlight w:val="none"/>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ascii="等线" w:hAnsi="等线" w:eastAsia="等线" w:cs="等线"/>
                <w:b w:val="0"/>
                <w:bCs w:val="0"/>
                <w:color w:val="000000" w:themeColor="text1"/>
                <w:sz w:val="22"/>
                <w:highlight w:val="none"/>
                <w14:textFill>
                  <w14:solidFill>
                    <w14:schemeClr w14:val="tx1"/>
                  </w14:solidFill>
                </w14:textFill>
              </w:rPr>
            </w:pPr>
            <w:r>
              <w:rPr>
                <w:rFonts w:ascii="等线" w:hAnsi="等线" w:eastAsia="等线" w:cs="等线"/>
                <w:b w:val="0"/>
                <w:bCs w:val="0"/>
                <w:color w:val="000000" w:themeColor="text1"/>
                <w:sz w:val="22"/>
                <w:highlight w:val="none"/>
                <w14:textFill>
                  <w14:solidFill>
                    <w14:schemeClr w14:val="tx1"/>
                  </w14:solidFill>
                </w14:textFill>
              </w:rPr>
              <w:t xml:space="preserve">100</w:t>
            </w:r>
            <w:r/>
          </w:p>
        </w:tc>
      </w:tr>
    </w:tbl>
    <w:p>
      <w:pPr>
        <w:ind w:firstLine="422"/>
        <w:spacing w:line="360" w:lineRule="auto"/>
        <w:tabs>
          <w:tab w:val="left" w:pos="7770" w:leader="none"/>
        </w:tabs>
        <w:rPr>
          <w:rFonts w:ascii="宋体" w:cs="宋体"/>
          <w:b/>
          <w:bCs/>
          <w:color w:val="000000" w:themeColor="text1"/>
          <w:szCs w:val="21"/>
          <w:highlight w:val="none"/>
          <w14:textFill>
            <w14:solidFill>
              <w14:schemeClr w14:val="tx1"/>
            </w14:solidFill>
          </w14:textFill>
        </w:rPr>
      </w:pPr>
      <w:r>
        <w:rPr>
          <w:rFonts w:ascii="宋体" w:cs="宋体"/>
          <w:b/>
          <w:bCs/>
          <w:color w:val="000000" w:themeColor="text1"/>
          <w:szCs w:val="21"/>
          <w:highlight w:val="none"/>
          <w14:textFill>
            <w14:solidFill>
              <w14:schemeClr w14:val="tx1"/>
            </w14:solidFill>
          </w14:textFill>
        </w:rPr>
      </w:r>
      <w:r/>
    </w:p>
    <w:p>
      <w:pPr>
        <w:pStyle w:val="876"/>
        <w:ind w:firstLine="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w:t>
      </w:r>
      <w:r>
        <w:rPr>
          <w:rFonts w:hint="eastAsia"/>
          <w:b/>
          <w:bCs/>
          <w:color w:val="ff0000"/>
          <w:sz w:val="28"/>
          <w:szCs w:val="28"/>
          <w:highlight w:val="none"/>
        </w:rPr>
        <w:t xml:space="preserve">包</w:t>
      </w:r>
      <w:r>
        <w:rPr>
          <w:rFonts w:hint="eastAsia"/>
          <w:b/>
          <w:bCs/>
          <w:color w:val="ff0000"/>
          <w:sz w:val="28"/>
          <w:szCs w:val="28"/>
          <w:highlight w:val="none"/>
          <w:lang w:val="en-US" w:eastAsia="zh-CN"/>
        </w:rPr>
        <w:t xml:space="preserve">2</w:t>
      </w:r>
      <w:r>
        <w:rPr>
          <w:rFonts w:hint="eastAsia"/>
          <w:b/>
          <w:bCs/>
          <w:color w:val="000000" w:themeColor="text1"/>
          <w:highlight w:val="none"/>
          <w14:textFill>
            <w14:solidFill>
              <w14:schemeClr w14:val="tx1"/>
            </w14:solidFill>
          </w14:textFill>
        </w:rPr>
        <w:t xml:space="preserve">项目作业要求</w:t>
      </w:r>
      <w:r/>
    </w:p>
    <w:p>
      <w:pPr>
        <w:pStyle w:val="876"/>
        <w:ind w:firstLine="0"/>
        <w:rPr>
          <w:rFonts w:cs="宋体"/>
          <w:b/>
          <w:bCs/>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t xml:space="preserve">1.</w:t>
      </w:r>
      <w:r>
        <w:rPr>
          <w:rFonts w:hint="eastAsia" w:cs="宋体"/>
          <w:b/>
          <w:bCs/>
          <w:color w:val="000000" w:themeColor="text1"/>
          <w:szCs w:val="21"/>
          <w:highlight w:val="none"/>
          <w14:textFill>
            <w14:solidFill>
              <w14:schemeClr w14:val="tx1"/>
            </w14:solidFill>
          </w14:textFill>
        </w:rPr>
        <w:t xml:space="preserve">道路作业要求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）负责服务范围内所有的机动车道、非机动车道、人行道、辅道、背街小巷、绿化带、绿化隔离带、花坛等的清扫和保洁作业。</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）道路清扫保洁需做到“十无”（即无果皮纸屑、无粪便、无积尘、无积水、无烟头、无遗撒物体、无油渍痰迹、无裸露垃圾、无小广告“牛皮癣”、无漏扫漏保）和“五净”</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即路面净、人行道净、道沿净、树坑净、污水口净</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，路面见本色。</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）作业时不扬尘、不漏扫，不得妨碍行人。</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2"/>
        <w:gridCol w:w="1095"/>
        <w:gridCol w:w="3525"/>
        <w:gridCol w:w="1834"/>
      </w:tblGrid>
      <w:tr>
        <w:trPr>
          <w:jc w:val="center"/>
          <w:trHeight w:val="567"/>
        </w:trPr>
        <w:tc>
          <w:tcPr>
            <w:tcW w:w="2292"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类型</w:t>
            </w:r>
            <w:r/>
          </w:p>
        </w:tc>
        <w:tc>
          <w:tcPr>
            <w:tcW w:w="1095"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保洁时间</w:t>
            </w:r>
            <w:r/>
          </w:p>
        </w:tc>
        <w:tc>
          <w:tcPr>
            <w:tcW w:w="3525"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具体作业时间</w:t>
            </w:r>
            <w:r/>
          </w:p>
        </w:tc>
        <w:tc>
          <w:tcPr>
            <w:tcW w:w="1834"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作业方式</w:t>
            </w:r>
            <w:r/>
          </w:p>
        </w:tc>
      </w:tr>
      <w:tr>
        <w:trPr>
          <w:jc w:val="center"/>
          <w:trHeight w:val="567"/>
        </w:trPr>
        <w:tc>
          <w:tcPr>
            <w:tcW w:w="2292" w:type="dxa"/>
            <w:vAlign w:val="center"/>
            <w:vMerge w:val="restart"/>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昌松、嘶马</w:t>
            </w:r>
            <w:r>
              <w:rPr>
                <w:rFonts w:hint="eastAsia" w:ascii="宋体" w:hAnsi="宋体" w:cs="宋体"/>
                <w:bCs/>
                <w:color w:val="000000" w:themeColor="text1"/>
                <w:szCs w:val="21"/>
                <w:highlight w:val="none"/>
                <w14:textFill>
                  <w14:solidFill>
                    <w14:schemeClr w14:val="tx1"/>
                  </w14:solidFill>
                </w14:textFill>
              </w:rPr>
              <w:t xml:space="preserve">集镇、工业园区、中小企业园、果园场</w:t>
            </w:r>
            <w:r/>
          </w:p>
        </w:tc>
        <w:tc>
          <w:tcPr>
            <w:tcW w:w="1095" w:type="dxa"/>
            <w:vAlign w:val="center"/>
            <w:vMerge w:val="restart"/>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不低于</w:t>
            </w:r>
            <w:r>
              <w:rPr>
                <w:rFonts w:ascii="宋体" w:hAnsi="宋体" w:cs="宋体"/>
                <w:bCs/>
                <w:color w:val="000000" w:themeColor="text1"/>
                <w:szCs w:val="21"/>
                <w:highlight w:val="none"/>
                <w14:textFill>
                  <w14:solidFill>
                    <w14:schemeClr w14:val="tx1"/>
                  </w14:solidFill>
                </w14:textFill>
              </w:rPr>
              <w:t xml:space="preserve">10</w:t>
            </w:r>
            <w:r>
              <w:rPr>
                <w:rFonts w:hint="eastAsia" w:ascii="宋体" w:hAnsi="宋体" w:cs="宋体"/>
                <w:bCs/>
                <w:color w:val="000000" w:themeColor="text1"/>
                <w:szCs w:val="21"/>
                <w:highlight w:val="none"/>
                <w14:textFill>
                  <w14:solidFill>
                    <w14:schemeClr w14:val="tx1"/>
                  </w14:solidFill>
                </w14:textFill>
              </w:rPr>
              <w:t xml:space="preserve">小时</w:t>
            </w:r>
            <w:r/>
          </w:p>
        </w:tc>
        <w:tc>
          <w:tcPr>
            <w:tcW w:w="352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第一次普扫时间在</w:t>
            </w:r>
            <w:r>
              <w:rPr>
                <w:rFonts w:ascii="宋体" w:hAnsi="宋体" w:cs="宋体"/>
                <w:bCs/>
                <w:color w:val="000000" w:themeColor="text1"/>
                <w:szCs w:val="21"/>
                <w:highlight w:val="none"/>
                <w14:textFill>
                  <w14:solidFill>
                    <w14:schemeClr w14:val="tx1"/>
                  </w14:solidFill>
                </w14:textFill>
              </w:rPr>
              <w:t xml:space="preserve">8:00</w:t>
            </w:r>
            <w:r>
              <w:rPr>
                <w:rFonts w:hint="eastAsia" w:ascii="宋体" w:hAnsi="宋体" w:cs="宋体"/>
                <w:bCs/>
                <w:color w:val="000000" w:themeColor="text1"/>
                <w:szCs w:val="21"/>
                <w:highlight w:val="none"/>
                <w14:textFill>
                  <w14:solidFill>
                    <w14:schemeClr w14:val="tx1"/>
                  </w14:solidFill>
                </w14:textFill>
              </w:rPr>
              <w:t xml:space="preserve">前完成</w:t>
            </w:r>
            <w:r/>
          </w:p>
        </w:tc>
        <w:tc>
          <w:tcPr>
            <w:tcW w:w="1834"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全面普扫</w:t>
            </w:r>
            <w:r/>
          </w:p>
        </w:tc>
      </w:tr>
      <w:tr>
        <w:trPr>
          <w:jc w:val="center"/>
          <w:trHeight w:val="567"/>
        </w:trPr>
        <w:tc>
          <w:tcPr>
            <w:tcW w:w="2292" w:type="dxa"/>
            <w:vAlign w:val="center"/>
            <w:vMerge w:val="continue"/>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cs="宋体"/>
                <w:bCs/>
                <w:color w:val="000000" w:themeColor="text1"/>
                <w:szCs w:val="21"/>
                <w:highlight w:val="none"/>
                <w14:textFill>
                  <w14:solidFill>
                    <w14:schemeClr w14:val="tx1"/>
                  </w14:solidFill>
                </w14:textFill>
              </w:rPr>
            </w:r>
            <w:r/>
          </w:p>
        </w:tc>
        <w:tc>
          <w:tcPr>
            <w:tcW w:w="1095" w:type="dxa"/>
            <w:vAlign w:val="center"/>
            <w:vMerge w:val="continue"/>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cs="宋体"/>
                <w:bCs/>
                <w:color w:val="000000" w:themeColor="text1"/>
                <w:szCs w:val="21"/>
                <w:highlight w:val="none"/>
                <w14:textFill>
                  <w14:solidFill>
                    <w14:schemeClr w14:val="tx1"/>
                  </w14:solidFill>
                </w14:textFill>
              </w:rPr>
            </w:r>
            <w:r/>
          </w:p>
        </w:tc>
        <w:tc>
          <w:tcPr>
            <w:tcW w:w="352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8:00—12:00</w:t>
            </w:r>
            <w:r/>
          </w:p>
        </w:tc>
        <w:tc>
          <w:tcPr>
            <w:tcW w:w="1834"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分段巡回保洁</w:t>
            </w:r>
            <w:r/>
          </w:p>
        </w:tc>
      </w:tr>
      <w:tr>
        <w:trPr>
          <w:jc w:val="center"/>
          <w:trHeight w:val="392"/>
        </w:trPr>
        <w:tc>
          <w:tcPr>
            <w:tcW w:w="2292" w:type="dxa"/>
            <w:vAlign w:val="center"/>
            <w:vMerge w:val="continue"/>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cs="宋体"/>
                <w:bCs/>
                <w:color w:val="000000" w:themeColor="text1"/>
                <w:szCs w:val="21"/>
                <w:highlight w:val="none"/>
                <w14:textFill>
                  <w14:solidFill>
                    <w14:schemeClr w14:val="tx1"/>
                  </w14:solidFill>
                </w14:textFill>
              </w:rPr>
            </w:r>
            <w:r/>
          </w:p>
        </w:tc>
        <w:tc>
          <w:tcPr>
            <w:tcW w:w="1095" w:type="dxa"/>
            <w:vAlign w:val="center"/>
            <w:vMerge w:val="continue"/>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cs="宋体"/>
                <w:bCs/>
                <w:color w:val="000000" w:themeColor="text1"/>
                <w:szCs w:val="21"/>
                <w:highlight w:val="none"/>
                <w14:textFill>
                  <w14:solidFill>
                    <w14:schemeClr w14:val="tx1"/>
                  </w14:solidFill>
                </w14:textFill>
              </w:rPr>
            </w:r>
            <w:r/>
          </w:p>
        </w:tc>
        <w:tc>
          <w:tcPr>
            <w:tcW w:w="352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12:00—18:00</w:t>
            </w:r>
            <w:r/>
          </w:p>
        </w:tc>
        <w:tc>
          <w:tcPr>
            <w:tcW w:w="1834"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分段巡回保洁</w:t>
            </w:r>
            <w:r/>
          </w:p>
        </w:tc>
      </w:tr>
      <w:tr>
        <w:trPr>
          <w:cantSplit/>
          <w:jc w:val="center"/>
          <w:trHeight w:val="451"/>
        </w:trPr>
        <w:tc>
          <w:tcPr>
            <w:tcW w:w="2292" w:type="dxa"/>
            <w:vAlign w:val="center"/>
            <w:vMerge w:val="restart"/>
            <w:textDirection w:val="lrTb"/>
            <w:noWrap w:val="false"/>
          </w:tcPr>
          <w:p>
            <w:pPr>
              <w:jc w:val="center"/>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外围主次干道、辅道</w:t>
            </w:r>
            <w:r/>
          </w:p>
        </w:tc>
        <w:tc>
          <w:tcPr>
            <w:tcW w:w="1095" w:type="dxa"/>
            <w:vAlign w:val="center"/>
            <w:vMerge w:val="restart"/>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不低于</w:t>
            </w:r>
            <w:r>
              <w:rPr>
                <w:rFonts w:ascii="宋体" w:hAnsi="宋体" w:cs="宋体"/>
                <w:bCs/>
                <w:color w:val="000000" w:themeColor="text1"/>
                <w:szCs w:val="21"/>
                <w:highlight w:val="none"/>
                <w14:textFill>
                  <w14:solidFill>
                    <w14:schemeClr w14:val="tx1"/>
                  </w14:solidFill>
                </w14:textFill>
              </w:rPr>
              <w:t xml:space="preserve">8</w:t>
            </w:r>
            <w:r>
              <w:rPr>
                <w:rFonts w:hint="eastAsia" w:ascii="宋体" w:hAnsi="宋体" w:cs="宋体"/>
                <w:bCs/>
                <w:color w:val="000000" w:themeColor="text1"/>
                <w:szCs w:val="21"/>
                <w:highlight w:val="none"/>
                <w14:textFill>
                  <w14:solidFill>
                    <w14:schemeClr w14:val="tx1"/>
                  </w14:solidFill>
                </w14:textFill>
              </w:rPr>
              <w:t xml:space="preserve">小时</w:t>
            </w:r>
            <w:r/>
          </w:p>
        </w:tc>
        <w:tc>
          <w:tcPr>
            <w:tcW w:w="3525" w:type="dxa"/>
            <w:vAlign w:val="center"/>
            <w:textDirection w:val="lrTb"/>
            <w:noWrap w:val="false"/>
          </w:tcPr>
          <w:p>
            <w:pPr>
              <w:jc w:val="center"/>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第一次普扫时间在</w:t>
            </w:r>
            <w:r>
              <w:rPr>
                <w:rFonts w:ascii="宋体" w:hAnsi="宋体" w:cs="宋体"/>
                <w:bCs/>
                <w:color w:val="000000" w:themeColor="text1"/>
                <w:szCs w:val="21"/>
                <w:highlight w:val="none"/>
                <w14:textFill>
                  <w14:solidFill>
                    <w14:schemeClr w14:val="tx1"/>
                  </w14:solidFill>
                </w14:textFill>
              </w:rPr>
              <w:t xml:space="preserve">8:00</w:t>
            </w:r>
            <w:r>
              <w:rPr>
                <w:rFonts w:hint="eastAsia" w:ascii="宋体" w:hAnsi="宋体" w:cs="宋体"/>
                <w:bCs/>
                <w:color w:val="000000" w:themeColor="text1"/>
                <w:szCs w:val="21"/>
                <w:highlight w:val="none"/>
                <w14:textFill>
                  <w14:solidFill>
                    <w14:schemeClr w14:val="tx1"/>
                  </w14:solidFill>
                </w14:textFill>
              </w:rPr>
              <w:t xml:space="preserve">前完成</w:t>
            </w:r>
            <w:r/>
          </w:p>
        </w:tc>
        <w:tc>
          <w:tcPr>
            <w:tcW w:w="1834" w:type="dxa"/>
            <w:vAlign w:val="center"/>
            <w:textDirection w:val="lrTb"/>
            <w:noWrap w:val="false"/>
          </w:tcPr>
          <w:p>
            <w:pPr>
              <w:jc w:val="center"/>
              <w:spacing w:line="360" w:lineRule="auto"/>
              <w:tabs>
                <w:tab w:val="left" w:pos="7770" w:leader="none"/>
              </w:tabs>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全面普扫</w:t>
            </w:r>
            <w:r/>
          </w:p>
        </w:tc>
      </w:tr>
      <w:tr>
        <w:trPr>
          <w:cantSplit/>
          <w:jc w:val="center"/>
          <w:trHeight w:val="451"/>
        </w:trPr>
        <w:tc>
          <w:tcPr>
            <w:tcW w:w="2292" w:type="dxa"/>
            <w:vAlign w:val="center"/>
            <w:vMerge w:val="continue"/>
            <w:textDirection w:val="lrTb"/>
            <w:noWrap w:val="false"/>
          </w:tcPr>
          <w:p>
            <w:pPr>
              <w:jc w:val="center"/>
              <w:spacing w:line="360" w:lineRule="auto"/>
              <w:tabs>
                <w:tab w:val="left" w:pos="777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95" w:type="dxa"/>
            <w:vAlign w:val="center"/>
            <w:vMerge w:val="continue"/>
            <w:textDirection w:val="lrTb"/>
            <w:noWrap w:val="false"/>
          </w:tcPr>
          <w:p>
            <w:pPr>
              <w:jc w:val="center"/>
              <w:spacing w:line="360" w:lineRule="auto"/>
              <w:tabs>
                <w:tab w:val="left" w:pos="777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52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8:00—12:00</w:t>
            </w:r>
            <w:r/>
          </w:p>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14:00—18:00</w:t>
            </w:r>
            <w:r/>
          </w:p>
        </w:tc>
        <w:tc>
          <w:tcPr>
            <w:tcW w:w="1834"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分段巡回保洁</w:t>
            </w:r>
            <w:r/>
          </w:p>
        </w:tc>
      </w:tr>
      <w:tr>
        <w:trPr>
          <w:cantSplit/>
          <w:jc w:val="center"/>
          <w:trHeight w:val="912"/>
        </w:trPr>
        <w:tc>
          <w:tcPr>
            <w:tcW w:w="2292"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绿化带、绿化隔离带、花坛</w:t>
            </w:r>
            <w:r>
              <w:rPr>
                <w:rFonts w:hint="eastAsia" w:ascii="宋体" w:hAnsi="宋体" w:cs="宋体"/>
                <w:bCs/>
                <w:color w:val="000000" w:themeColor="text1"/>
                <w:szCs w:val="21"/>
                <w:highlight w:val="none"/>
                <w14:textFill>
                  <w14:solidFill>
                    <w14:schemeClr w14:val="tx1"/>
                  </w14:solidFill>
                </w14:textFill>
              </w:rPr>
              <w:t xml:space="preserve">的生活垃圾清理保洁</w:t>
            </w:r>
            <w:r/>
          </w:p>
        </w:tc>
        <w:tc>
          <w:tcPr>
            <w:tcW w:w="109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w:t>
            </w:r>
            <w:r/>
          </w:p>
        </w:tc>
        <w:tc>
          <w:tcPr>
            <w:tcW w:w="352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和所在道路清扫保洁的时间一致</w:t>
            </w:r>
            <w:r/>
          </w:p>
        </w:tc>
        <w:tc>
          <w:tcPr>
            <w:tcW w:w="1834"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分段巡回保洁</w:t>
            </w:r>
            <w:r/>
          </w:p>
        </w:tc>
      </w:tr>
    </w:tbl>
    <w:p>
      <w:pPr>
        <w:spacing w:line="360" w:lineRule="auto"/>
        <w:tabs>
          <w:tab w:val="left" w:pos="7770" w:leader="none"/>
        </w:tabs>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道路人工清扫、保洁的作业要求</w:t>
      </w:r>
      <w:r>
        <w:rPr>
          <w:rFonts w:ascii="宋体" w:hAnsi="宋体" w:cs="宋体"/>
          <w:b/>
          <w:bCs/>
          <w:color w:val="000000" w:themeColor="text1"/>
          <w:szCs w:val="21"/>
          <w:highlight w:val="none"/>
          <w14:textFill>
            <w14:solidFill>
              <w14:schemeClr w14:val="tx1"/>
            </w14:solidFill>
          </w14:textFill>
        </w:rPr>
        <w:t xml:space="preserve">:</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）道路的清扫保洁标准参照三、四级道路的清扫保洁要求。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）清扫保洁员衣着整齐，穿着反光安全制服作业。</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）所有垃圾收集点每个点位根据实际需要配置垃圾桶，按生活垃圾分类要求摆放。所有背街小巷垃圾不能以任何理由拒收或不收。垃圾密闭收集运输，日产日清，清运率</w:t>
      </w:r>
      <w:r>
        <w:rPr>
          <w:rFonts w:ascii="宋体" w:hAnsi="宋体" w:cs="宋体"/>
          <w:color w:val="000000" w:themeColor="text1"/>
          <w:szCs w:val="21"/>
          <w:highlight w:val="none"/>
          <w14:textFill>
            <w14:solidFill>
              <w14:schemeClr w14:val="tx1"/>
            </w14:solidFill>
          </w14:textFill>
        </w:rPr>
        <w:t xml:space="preserve">100%</w:t>
      </w:r>
      <w:r>
        <w:rPr>
          <w:rFonts w:hint="eastAsia" w:ascii="宋体" w:hAnsi="宋体" w:cs="宋体"/>
          <w:color w:val="000000" w:themeColor="text1"/>
          <w:szCs w:val="21"/>
          <w:highlight w:val="none"/>
          <w14:textFill>
            <w14:solidFill>
              <w14:schemeClr w14:val="tx1"/>
            </w14:solidFill>
          </w14:textFill>
        </w:rPr>
        <w:t xml:space="preserve">。</w:t>
      </w:r>
      <w:r/>
    </w:p>
    <w:p>
      <w:pPr>
        <w:pStyle w:val="876"/>
        <w:ind w:firstLine="420"/>
        <w:rPr>
          <w:rFonts w:cs="宋体"/>
          <w:b/>
          <w:bCs/>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4</w:t>
      </w:r>
      <w:r>
        <w:rPr>
          <w:rFonts w:hint="eastAsia" w:cs="宋体"/>
          <w:color w:val="000000" w:themeColor="text1"/>
          <w:szCs w:val="21"/>
          <w:highlight w:val="none"/>
          <w14:textFill>
            <w14:solidFill>
              <w14:schemeClr w14:val="tx1"/>
            </w14:solidFill>
          </w14:textFill>
        </w:rPr>
        <w:t xml:space="preserve">）街巷路面干净，无果皮纸屑、无塑料袋、无积尘、无漂浮、无杂草等。</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）合理配置环卫清扫保洁作业人员和机械设备，对每个作业路段实行定人定岗。</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）上岗时，保洁人员衣着整齐，穿戴配有反光标志的安全作业服，佩戴工号牌（有条件可佩戴智能手环），电动保洁车作业人员需佩戴安全头盔，不得闯红灯、逆行、违章停车。</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保洁时间内，确保每个作业班次的保洁人员在岗巡回保洁，不得缺员缺岗。上路后将机动车道、辅道、非机动车道、人行道、边沟、树穴等普扫之后沿路段巡回保洁，不得漏点漏段。清扫保洁时要控制扬尘，清扫保洁后的垃圾、尘土要倒入垃圾收集车（桶）内，并盖好车（桶）盖。不得将垃圾、尘土等扫入道路排水口、绿化带和果壳箱内。</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）清扫保洁时做到“六不准”：不准聚众闲谈、脱岗、坐岗、干私活、闲看手机；不准将车辆等工作工具擅作它用。</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）早餐实行轮流用餐制，用餐时间内道路上要求每路段留人保洁。</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）作业时车辆干净整洁，张贴反光标识，不得影响交通，占用盲道。作业后一律就近停放指定地点。</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）雨天作业时穿带配有反光标志的雨具，雨后及时清理路面积水和杂物。</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）落叶季节，及时清扫，严禁焚烧。</w:t>
      </w:r>
      <w:r/>
    </w:p>
    <w:p>
      <w:pPr>
        <w:ind w:firstLine="420"/>
        <w:jc w:val="left"/>
        <w:spacing w:line="360" w:lineRule="auto"/>
        <w:tabs>
          <w:tab w:val="left" w:pos="777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）遇到突发性污染情况时，设置醒目的路障和警示牌，人工配合机械及时清洗，恢复路面整洁。</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道路机械化洗扫、洒水、冲洗作业要求：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）路面作业要全覆盖，严禁漏扫、无扫，需于指定区域加水、卸载垃圾。</w:t>
      </w:r>
      <w:r/>
    </w:p>
    <w:p>
      <w:pPr>
        <w:ind w:firstLine="420"/>
        <w:spacing w:line="360" w:lineRule="auto"/>
        <w:tabs>
          <w:tab w:val="left" w:pos="266"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车辆保持整洁，确保车身无破损、锈蚀，车身需张贴反光标志，车牌及车身标志清晰可见。</w:t>
      </w:r>
      <w:r>
        <w:rPr>
          <w:rFonts w:hint="eastAsia" w:ascii="宋体" w:hAnsi="宋体" w:cs="宋体"/>
          <w:color w:val="000000" w:themeColor="text1"/>
          <w:szCs w:val="21"/>
          <w:highlight w:val="none"/>
          <w14:textFill>
            <w14:solidFill>
              <w14:schemeClr w14:val="tx1"/>
            </w14:solidFill>
          </w14:textFill>
        </w:rPr>
        <w:t xml:space="preserve">所有作业车辆牌证齐全，规范管理。</w:t>
      </w:r>
      <w:r/>
    </w:p>
    <w:p>
      <w:pPr>
        <w:ind w:firstLine="420"/>
        <w:jc w:val="left"/>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）所有车辆均安装</w:t>
      </w:r>
      <w:r>
        <w:rPr>
          <w:rFonts w:ascii="宋体" w:hAnsi="宋体" w:cs="宋体"/>
          <w:color w:val="000000" w:themeColor="text1"/>
          <w:szCs w:val="21"/>
          <w:highlight w:val="none"/>
          <w14:textFill>
            <w14:solidFill>
              <w14:schemeClr w14:val="tx1"/>
            </w14:solidFill>
          </w14:textFill>
        </w:rPr>
        <w:t xml:space="preserve">GPS</w:t>
      </w:r>
      <w:r>
        <w:rPr>
          <w:rFonts w:hint="eastAsia" w:ascii="宋体" w:hAnsi="宋体" w:cs="宋体"/>
          <w:color w:val="000000" w:themeColor="text1"/>
          <w:szCs w:val="21"/>
          <w:highlight w:val="none"/>
          <w14:textFill>
            <w14:solidFill>
              <w14:schemeClr w14:val="tx1"/>
            </w14:solidFill>
          </w14:textFill>
        </w:rPr>
        <w:t xml:space="preserve">与行车记录仪。</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各类车辆行驶要求：</w:t>
      </w:r>
      <w:r>
        <w:rPr>
          <w:rFonts w:ascii="宋体" w:hAnsi="宋体" w:cs="宋体"/>
          <w:color w:val="000000" w:themeColor="text1"/>
          <w:highlight w:val="none"/>
          <w14:textFill>
            <w14:solidFill>
              <w14:schemeClr w14:val="tx1"/>
            </w14:solidFill>
          </w14:textFill>
        </w:rPr>
        <w:t xml:space="preserve"> </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①洗扫车洗扫作业时，行驶速度不超过</w:t>
      </w:r>
      <w:r>
        <w:rPr>
          <w:rFonts w:ascii="宋体" w:hAnsi="宋体" w:cs="宋体"/>
          <w:color w:val="000000" w:themeColor="text1"/>
          <w:highlight w:val="none"/>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公里</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小时，严格按照放刷、喷水、调整箱体压力和刷盘转速、洗扫的顺序进行操作；非特殊气候情况下，避免“干扫”；作业时禁止扫刷、吸嘴不落地。</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②洒水车洒水、冲洗作业时，行驶车速不超过</w:t>
      </w:r>
      <w:r>
        <w:rPr>
          <w:rFonts w:ascii="宋体" w:hAnsi="宋体" w:cs="宋体"/>
          <w:color w:val="000000" w:themeColor="text1"/>
          <w:highlight w:val="none"/>
          <w14:textFill>
            <w14:solidFill>
              <w14:schemeClr w14:val="tx1"/>
            </w14:solidFill>
          </w14:textFill>
        </w:rPr>
        <w:t xml:space="preserve">20</w:t>
      </w:r>
      <w:r>
        <w:rPr>
          <w:rFonts w:hint="eastAsia" w:ascii="宋体" w:hAnsi="宋体" w:cs="宋体"/>
          <w:color w:val="000000" w:themeColor="text1"/>
          <w:highlight w:val="none"/>
          <w14:textFill>
            <w14:solidFill>
              <w14:schemeClr w14:val="tx1"/>
            </w14:solidFill>
          </w14:textFill>
        </w:rPr>
        <w:t xml:space="preserve">公里</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小时，喷水口喷水有力，不得出现断续喷水的现象，洒水作业需覆盖道路的所有机动车道，不得漏洒，作业后，路面无干燥路段和片区。遇岔路口、红绿灯、斑马线处，前后</w:t>
      </w:r>
      <w:r>
        <w:rPr>
          <w:rFonts w:ascii="宋体" w:hAnsi="宋体" w:cs="宋体"/>
          <w:color w:val="000000" w:themeColor="text1"/>
          <w:highlight w:val="none"/>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米范围内不进行洒水、冲洗作业。</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小型高压冲洗车冲洗作业时，需根据路面实际情况，重点处理顽固油渍、果壳箱、公交站台、背街小巷、人行道等区域的应急清洁任务。作业过程中需注意周边行人和车辆动态，提前避让，确保通行安全。冲洗时严禁将水枪对准人员、动物和电器设备，操作人员需保持适当距离与合理角度，边移动边冲洗，确保清洗过程连续、均匀、全覆盖。</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④如遇死角、深沟、道路两侧行道树过低过近、垃圾杂物体积过长过大、落叶季节、窨井眼不畅通、有杂物或被堵塞等工况无法满足环卫机械化作业条件时，需组织人工配合作业。</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⑤夜间作业时开启警示灯和示宽灯，夜间禁鸣，洒水作业日间需播放提示音乐。</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⑥作业人员文明驾驶并按照规定的时间、线路、频次和作业模式作业；作业时穿戴统一的、具有明显警示标识的工作服，并保持着装整洁。不得有滞留马路和加油加水超时等情况。</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）机械化作业车辆要求：</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①车体整洁明亮、各种配件齐全、使用功能齐备，各项作业装置保持完好、有效。车身如有宣传标贴，需保持清洁完整。</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②上路作业车辆</w:t>
      </w:r>
      <w:r>
        <w:rPr>
          <w:rFonts w:hint="eastAsia" w:ascii="宋体" w:hAnsi="宋体" w:cs="宋体"/>
          <w:color w:val="000000" w:themeColor="text1"/>
          <w:szCs w:val="21"/>
          <w:highlight w:val="none"/>
          <w14:textFill>
            <w14:solidFill>
              <w14:schemeClr w14:val="tx1"/>
            </w14:solidFill>
          </w14:textFill>
        </w:rPr>
        <w:t xml:space="preserve">牌证齐全，规范管理。</w:t>
      </w:r>
      <w:r>
        <w:rPr>
          <w:rFonts w:hint="eastAsia" w:ascii="宋体" w:hAnsi="宋体" w:cs="宋体"/>
          <w:color w:val="000000" w:themeColor="text1"/>
          <w:highlight w:val="none"/>
          <w14:textFill>
            <w14:solidFill>
              <w14:schemeClr w14:val="tx1"/>
            </w14:solidFill>
          </w14:textFill>
        </w:rPr>
        <w:t xml:space="preserve">需保持车牌及车身标志清晰、齐全，车体无破损、无锈蚀、无污物、无灰垢。车尾需有反光标志（或加贴反光膜）。</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w:t>
      </w:r>
      <w:r>
        <w:rPr>
          <w:rFonts w:hint="eastAsia" w:ascii="宋体" w:hAnsi="宋体" w:cs="宋体"/>
          <w:color w:val="000000" w:themeColor="text1"/>
          <w:szCs w:val="21"/>
          <w:highlight w:val="none"/>
          <w14:textFill>
            <w14:solidFill>
              <w14:schemeClr w14:val="tx1"/>
            </w14:solidFill>
          </w14:textFill>
        </w:rPr>
        <w:t xml:space="preserve">所有车辆均需安装</w:t>
      </w:r>
      <w:r>
        <w:rPr>
          <w:rFonts w:ascii="宋体" w:hAnsi="宋体" w:cs="宋体"/>
          <w:color w:val="000000" w:themeColor="text1"/>
          <w:szCs w:val="21"/>
          <w:highlight w:val="none"/>
          <w14:textFill>
            <w14:solidFill>
              <w14:schemeClr w14:val="tx1"/>
            </w14:solidFill>
          </w14:textFill>
        </w:rPr>
        <w:t xml:space="preserve">GPS</w:t>
      </w:r>
      <w:r>
        <w:rPr>
          <w:rFonts w:hint="eastAsia" w:ascii="宋体" w:hAnsi="宋体" w:cs="宋体"/>
          <w:color w:val="000000" w:themeColor="text1"/>
          <w:szCs w:val="21"/>
          <w:highlight w:val="none"/>
          <w14:textFill>
            <w14:solidFill>
              <w14:schemeClr w14:val="tx1"/>
            </w14:solidFill>
          </w14:textFill>
        </w:rPr>
        <w:t xml:space="preserve">与行车记录仪。</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）调度和管理要求：</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科学合理调配作业车辆分布比例及运行。每班作业需按规定填写出车日志，作业车辆需在规定地点取水、清洁污物箱，机械化作业收集的垃圾倒入指定中转站。车辆作业收集的废弃物按采购人指定的收集点归集，严禁随意倾倒。</w:t>
      </w:r>
      <w:r/>
    </w:p>
    <w:p>
      <w:pPr>
        <w:ind w:firstLine="420"/>
        <w:spacing w:line="360" w:lineRule="auto"/>
        <w:tabs>
          <w:tab w:val="left" w:pos="266" w:leader="none"/>
        </w:tabs>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②建立健全车辆维修、保养和检查制度，需确保出车车况良好。</w:t>
      </w:r>
      <w:r/>
    </w:p>
    <w:tbl>
      <w:tblPr>
        <w:tblStyle w:val="819"/>
        <w:tblW w:w="9255" w:type="dxa"/>
        <w:tblInd w:w="3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70"/>
        <w:gridCol w:w="4785"/>
      </w:tblGrid>
      <w:tr>
        <w:trPr/>
        <w:tc>
          <w:tcPr>
            <w:tcW w:w="4470"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作业内容</w:t>
            </w:r>
            <w:r/>
          </w:p>
        </w:tc>
        <w:tc>
          <w:tcPr>
            <w:tcW w:w="4785" w:type="dxa"/>
            <w:vAlign w:val="center"/>
            <w:textDirection w:val="lrTb"/>
            <w:noWrap w:val="false"/>
          </w:tcPr>
          <w:p>
            <w:pPr>
              <w:jc w:val="center"/>
              <w:spacing w:line="360" w:lineRule="auto"/>
              <w:tabs>
                <w:tab w:val="left" w:pos="7770" w:leader="none"/>
              </w:tabs>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具体作业时间</w:t>
            </w:r>
            <w:r/>
          </w:p>
        </w:tc>
      </w:tr>
      <w:tr>
        <w:trPr/>
        <w:tc>
          <w:tcPr>
            <w:tcW w:w="4470"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道路冲洗作业</w:t>
            </w:r>
            <w:r/>
          </w:p>
        </w:tc>
        <w:tc>
          <w:tcPr>
            <w:tcW w:w="478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高压冲水须在</w:t>
            </w:r>
            <w:r>
              <w:rPr>
                <w:rFonts w:ascii="宋体" w:hAnsi="宋体" w:cs="宋体"/>
                <w:bCs/>
                <w:color w:val="000000" w:themeColor="text1"/>
                <w:szCs w:val="21"/>
                <w:highlight w:val="none"/>
                <w14:textFill>
                  <w14:solidFill>
                    <w14:schemeClr w14:val="tx1"/>
                  </w14:solidFill>
                </w14:textFill>
              </w:rPr>
              <w:t xml:space="preserve">6:00</w:t>
            </w:r>
            <w:r>
              <w:rPr>
                <w:rFonts w:hint="eastAsia" w:ascii="宋体" w:hAnsi="宋体" w:cs="宋体"/>
                <w:bCs/>
                <w:color w:val="000000" w:themeColor="text1"/>
                <w:szCs w:val="21"/>
                <w:highlight w:val="none"/>
                <w14:textFill>
                  <w14:solidFill>
                    <w14:schemeClr w14:val="tx1"/>
                  </w14:solidFill>
                </w14:textFill>
              </w:rPr>
              <w:t xml:space="preserve">前完成（冲洗作业安排在清扫作业之前），其余时间使用洒水作业</w:t>
            </w:r>
            <w:r/>
          </w:p>
        </w:tc>
      </w:tr>
      <w:tr>
        <w:trPr/>
        <w:tc>
          <w:tcPr>
            <w:tcW w:w="4470"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道路洒水降尘作业</w:t>
            </w:r>
            <w:r/>
          </w:p>
        </w:tc>
        <w:tc>
          <w:tcPr>
            <w:tcW w:w="478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 6:30-10:30</w:t>
            </w:r>
            <w:r/>
          </w:p>
          <w:p>
            <w:pPr>
              <w:jc w:val="center"/>
              <w:spacing w:line="360" w:lineRule="auto"/>
              <w:tabs>
                <w:tab w:val="left" w:pos="7770" w:leader="none"/>
              </w:tabs>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14:00-18:00</w:t>
            </w:r>
            <w:r/>
          </w:p>
        </w:tc>
      </w:tr>
      <w:tr>
        <w:trPr/>
        <w:tc>
          <w:tcPr>
            <w:tcW w:w="4470"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人行道清（冲）洗作业</w:t>
            </w:r>
            <w:r/>
          </w:p>
        </w:tc>
        <w:tc>
          <w:tcPr>
            <w:tcW w:w="478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4:30-7:00</w:t>
            </w:r>
            <w:r/>
          </w:p>
          <w:p>
            <w:pPr>
              <w:jc w:val="center"/>
              <w:spacing w:line="360" w:lineRule="auto"/>
              <w:tabs>
                <w:tab w:val="left" w:pos="7770" w:leader="none"/>
              </w:tabs>
              <w:rPr>
                <w:rFonts w:ascii="Arial" w:hAnsi="Arial"/>
                <w:color w:val="000000" w:themeColor="text1"/>
                <w:szCs w:val="24"/>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15:00-17:00</w:t>
            </w:r>
            <w:r/>
          </w:p>
        </w:tc>
      </w:tr>
      <w:tr>
        <w:trPr/>
        <w:tc>
          <w:tcPr>
            <w:tcW w:w="4470"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道路洗扫作业</w:t>
            </w:r>
            <w:r/>
          </w:p>
        </w:tc>
        <w:tc>
          <w:tcPr>
            <w:tcW w:w="4785" w:type="dxa"/>
            <w:vAlign w:val="center"/>
            <w:textDirection w:val="lrTb"/>
            <w:noWrap w:val="false"/>
          </w:tcPr>
          <w:p>
            <w:pPr>
              <w:jc w:val="center"/>
              <w:spacing w:line="360" w:lineRule="auto"/>
              <w:tabs>
                <w:tab w:val="left" w:pos="7770" w:leader="none"/>
              </w:tabs>
              <w:rPr>
                <w:rFonts w:asci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5:00-9:00</w:t>
            </w:r>
            <w:r/>
          </w:p>
          <w:p>
            <w:pPr>
              <w:jc w:val="center"/>
              <w:spacing w:line="360" w:lineRule="auto"/>
              <w:tabs>
                <w:tab w:val="left" w:pos="7770" w:leader="none"/>
              </w:tabs>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14:00-18:00</w:t>
            </w:r>
            <w:r/>
          </w:p>
        </w:tc>
      </w:tr>
    </w:tbl>
    <w:p>
      <w:pPr>
        <w:pStyle w:val="876"/>
        <w:ind w:firstLine="0"/>
        <w:rPr>
          <w:rFonts w:cs="宋体"/>
          <w:color w:val="000000" w:themeColor="text1"/>
          <w:szCs w:val="21"/>
          <w:highlight w:val="none"/>
          <w14:textFill>
            <w14:solidFill>
              <w14:schemeClr w14:val="tx1"/>
            </w14:solidFill>
          </w14:textFill>
        </w:rPr>
      </w:pPr>
      <w:r>
        <w:rPr>
          <w:rFonts w:cs="宋体"/>
          <w:color w:val="000000" w:themeColor="text1"/>
          <w:szCs w:val="21"/>
          <w:highlight w:val="none"/>
          <w14:textFill>
            <w14:solidFill>
              <w14:schemeClr w14:val="tx1"/>
            </w14:solidFill>
          </w14:textFill>
        </w:rPr>
      </w:r>
      <w:r/>
    </w:p>
    <w:p>
      <w:pPr>
        <w:pStyle w:val="876"/>
        <w:ind w:firstLine="0"/>
        <w:rPr>
          <w:rFonts w:cs="宋体"/>
          <w:b/>
          <w:bCs/>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t xml:space="preserve">4.</w:t>
      </w:r>
      <w:r>
        <w:rPr>
          <w:rFonts w:hint="eastAsia" w:cs="宋体"/>
          <w:b/>
          <w:bCs/>
          <w:color w:val="000000" w:themeColor="text1"/>
          <w:szCs w:val="21"/>
          <w:highlight w:val="none"/>
          <w14:textFill>
            <w14:solidFill>
              <w14:schemeClr w14:val="tx1"/>
            </w14:solidFill>
          </w14:textFill>
        </w:rPr>
        <w:t xml:space="preserve">垃圾的收集和清运的作业要求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）生活垃圾全部实行容器收集，按照《生活垃圾分类标志》、《城市生活垃圾分类及其评价标准》的要求，全面推广开展分类收集。</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）垃圾杂物要及时清运，日产日清，不得发生堆积、焚烧现象，禁止造成垃圾二次污染。</w:t>
      </w:r>
      <w:r/>
    </w:p>
    <w:p>
      <w:pPr>
        <w:pStyle w:val="900"/>
        <w:ind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w:t>
      </w:r>
      <w:r>
        <w:rPr>
          <w:rFonts w:hAnsi="宋体" w:cs="宋体"/>
          <w:color w:val="000000" w:themeColor="text1"/>
          <w:sz w:val="21"/>
          <w:szCs w:val="21"/>
          <w:highlight w:val="none"/>
          <w14:textFill>
            <w14:solidFill>
              <w14:schemeClr w14:val="tx1"/>
            </w14:solidFill>
          </w14:textFill>
        </w:rPr>
        <w:t xml:space="preserve">3</w:t>
      </w:r>
      <w:r>
        <w:rPr>
          <w:rFonts w:hint="eastAsia" w:hAnsi="宋体" w:cs="宋体"/>
          <w:color w:val="000000" w:themeColor="text1"/>
          <w:sz w:val="21"/>
          <w:szCs w:val="21"/>
          <w:highlight w:val="none"/>
          <w14:textFill>
            <w14:solidFill>
              <w14:schemeClr w14:val="tx1"/>
            </w14:solidFill>
          </w14:textFill>
        </w:rPr>
        <w:t xml:space="preserve">）收集容器周边少量的农作物，日产日清，不得发生堆积现象。</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）重点路段、人流量密集的点位每天垃圾巡回收运。</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）电动三四轮车上门收集垃圾过程中需避免抛洒滴漏，易碎有害垃圾需单独防护，防止污染扩散。禁止逆行、抢</w:t>
      </w:r>
      <w:r>
        <w:rPr>
          <w:rFonts w:hint="eastAsia" w:ascii="宋体" w:hAnsi="宋体" w:cs="宋体"/>
          <w:color w:val="000000" w:themeColor="text1"/>
          <w:szCs w:val="21"/>
          <w:highlight w:val="none"/>
          <w14:textFill>
            <w14:solidFill>
              <w14:schemeClr w14:val="tx1"/>
            </w14:solidFill>
          </w14:textFill>
        </w:rPr>
        <w:t xml:space="preserve">道、急转弯或双手离把驾驶，车辆需靠右顺行停放于辅道或人行道，不得妨碍交通，临时停放需关闭电源并拉紧手刹。按照规定的时间和路线收集区域内各个垃圾点位。提前通过广播、喇叭等方式提醒居民准备好垃圾；到达收集点后，礼貌地与居民沟通，引导居民正确分类投放垃圾。对于分类不准确的，需耐心指导纠正；轻拿轻放垃圾容器，避免损坏，收集完成后将容器放回原位，并保持周边环境整洁。运输过程中控制车速，避免急刹车、急转弯，防止垃圾因颠簸而散落；根据垃圾量和运输距离，合理规划运输路线，及时将垃圾运送至中转站。倾倒完成后，对车辆进行清理。</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7m</w:t>
      </w:r>
      <w:r>
        <w:rPr>
          <w:rFonts w:hint="eastAsia" w:ascii="宋体" w:hAnsi="宋体" w:cs="宋体"/>
          <w:color w:val="000000" w:themeColor="text1"/>
          <w:szCs w:val="21"/>
          <w:highlight w:val="none"/>
          <w14:textFill>
            <w14:solidFill>
              <w14:schemeClr w14:val="tx1"/>
            </w14:solidFill>
          </w14:textFill>
        </w:rPr>
        <w:t xml:space="preserve">³全密闭垃圾收集车收集垃圾过程中无垃圾遗撒或渗漏，严禁混装混运，人工辅助或机械臂上料，轻放轻卸，防止垃圾桶破损，及时清理散落垃圾、污渍，避免安全隐患。</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）电动三四轮车作业人员需衣着整齐，穿戴配有反光标志的安全作业服，佩戴工号牌、安全头盔，不得闯红灯、逆行、违章停车。</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）所有车辆在清运作业时，需严格遵守道路交通安全法规，保持安全车距，主动礼让行人及其他车辆，杜绝抢行、超速等违规行为。</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）电动三四轮车每日作业后需对驾驶室仪表盘、方向盘、车身外立面、轮胎及底盘进行高压水枪冲洗和人工擦拭，确保无垃圾残留或污水滴漏。</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7m</w:t>
      </w:r>
      <w:r>
        <w:rPr>
          <w:rFonts w:hint="eastAsia" w:ascii="宋体" w:hAnsi="宋体" w:cs="宋体"/>
          <w:color w:val="000000" w:themeColor="text1"/>
          <w:szCs w:val="21"/>
          <w:highlight w:val="none"/>
          <w14:textFill>
            <w14:solidFill>
              <w14:schemeClr w14:val="tx1"/>
            </w14:solidFill>
          </w14:textFill>
        </w:rPr>
        <w:t xml:space="preserve">³全密闭垃圾收集车每日作业后使用</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低压水枪</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冲洗车身外表面、轮胎及底盘，重点清除尘土、油污与垃圾残留，对车厢密封门、防撞护栏等易污染部位进行人工擦拭，确保无污渍或垃圾液渗漏，冲洗车厢内部残留物，使用专用洗车剂溶解顽固污渍，重点清理推板、液压缸等机械部件粘连物。</w:t>
      </w:r>
      <w:r/>
    </w:p>
    <w:p>
      <w:pPr>
        <w:pStyle w:val="876"/>
        <w:ind w:firstLine="0"/>
        <w:rPr>
          <w:rFonts w:cs="宋体"/>
          <w:b/>
          <w:bCs/>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t xml:space="preserve">5.</w:t>
      </w:r>
      <w:r>
        <w:rPr>
          <w:rFonts w:hint="eastAsia" w:cs="宋体"/>
          <w:b/>
          <w:bCs/>
          <w:color w:val="000000" w:themeColor="text1"/>
          <w:szCs w:val="21"/>
          <w:highlight w:val="none"/>
          <w14:textFill>
            <w14:solidFill>
              <w14:schemeClr w14:val="tx1"/>
            </w14:solidFill>
          </w14:textFill>
        </w:rPr>
        <w:t xml:space="preserve">果壳箱、垃圾收集容器、标识牌保洁维护管理的作业要求</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）公共区域内的生活垃圾收集容器、设施等要有专人管理、规范设置、标识清晰，有遗失、缺损时及时修复、出新、更换，首次区域内所有</w:t>
      </w:r>
      <w:r>
        <w:rPr>
          <w:rFonts w:ascii="宋体" w:hAnsi="宋体" w:cs="宋体"/>
          <w:color w:val="000000" w:themeColor="text1"/>
          <w:szCs w:val="21"/>
          <w:highlight w:val="none"/>
          <w14:textFill>
            <w14:solidFill>
              <w14:schemeClr w14:val="tx1"/>
            </w14:solidFill>
          </w14:textFill>
        </w:rPr>
        <w:t xml:space="preserve">240L</w:t>
      </w:r>
      <w:r>
        <w:rPr>
          <w:rFonts w:hint="eastAsia" w:ascii="宋体" w:hAnsi="宋体" w:cs="宋体"/>
          <w:color w:val="000000" w:themeColor="text1"/>
          <w:szCs w:val="21"/>
          <w:highlight w:val="none"/>
          <w14:textFill>
            <w14:solidFill>
              <w14:schemeClr w14:val="tx1"/>
            </w14:solidFill>
          </w14:textFill>
        </w:rPr>
        <w:t xml:space="preserve">垃圾桶全部换新（质量标准需经采购人确认验收）。</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）定期对生活垃圾收集容器、设施、标识牌进行清洗。</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）生活垃圾分类收集容器、设施内垃圾不满溢，表面整洁无污物、无痰迹、无尘土、无小广告，</w:t>
      </w:r>
      <w:r>
        <w:rPr>
          <w:rFonts w:hint="eastAsia" w:ascii="宋体" w:hAnsi="宋体" w:cs="宋体"/>
          <w:bCs/>
          <w:color w:val="000000" w:themeColor="text1"/>
          <w:szCs w:val="21"/>
          <w:highlight w:val="none"/>
          <w14:textFill>
            <w14:solidFill>
              <w14:schemeClr w14:val="tx1"/>
            </w14:solidFill>
          </w14:textFill>
        </w:rPr>
        <w:t xml:space="preserve">标识牌无污迹。</w:t>
      </w:r>
      <w:r/>
    </w:p>
    <w:p>
      <w:pPr>
        <w:jc w:val="left"/>
        <w:spacing w:line="360" w:lineRule="auto"/>
        <w:tabs>
          <w:tab w:val="left" w:pos="7770" w:leader="none"/>
        </w:tabs>
        <w:rPr>
          <w:rFonts w:ascii="宋体" w:cs="宋体"/>
          <w:b/>
          <w:bCs/>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道路两侧绿化带、隔离带内的漂浮物清理保洁的作业要求</w:t>
      </w:r>
      <w:r>
        <w:rPr>
          <w:rFonts w:ascii="宋体" w:hAnsi="宋体" w:cs="宋体"/>
          <w:b/>
          <w:bCs/>
          <w:color w:val="000000" w:themeColor="text1"/>
          <w:szCs w:val="21"/>
          <w:highlight w:val="none"/>
          <w14:textFill>
            <w14:solidFill>
              <w14:schemeClr w14:val="tx1"/>
            </w14:solidFill>
          </w14:textFill>
        </w:rPr>
        <w:t xml:space="preserve">:</w:t>
      </w:r>
      <w:r/>
    </w:p>
    <w:p>
      <w:pPr>
        <w:ind w:firstLine="420"/>
        <w:jc w:val="left"/>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及时清除绿化带、隔离带内的纸屑、烟蒂、砖块、果壳、塑料袋、瓶罐、粪便、动物尸体、自然凋谢的枯枝残叶等垃圾和杂物，保持绿化带、绿化隔离带等干净整洁。做到花卉、苗木上无垃圾悬挂，花卉苗木丛中无漂浮物夹藏。</w:t>
      </w:r>
      <w:r/>
    </w:p>
    <w:p>
      <w:pPr>
        <w:pStyle w:val="876"/>
        <w:ind w:firstLine="420"/>
        <w:rPr>
          <w:rFonts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清理出的垃圾及时归集，统一运送到指定地点，不得随意堆放。</w:t>
      </w:r>
      <w:r/>
    </w:p>
    <w:p>
      <w:pPr>
        <w:spacing w:line="360" w:lineRule="auto"/>
        <w:rPr>
          <w:rFonts w:ascii="宋体" w:cs="宋体"/>
          <w:b/>
          <w:bCs/>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大气污染防治、洒水降尘</w:t>
      </w:r>
      <w:r/>
    </w:p>
    <w:p>
      <w:pPr>
        <w:ind w:firstLine="565"/>
        <w:spacing w:line="360" w:lineRule="auto"/>
        <w:rPr>
          <w:rFonts w:asci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7.1</w:t>
      </w:r>
      <w:r>
        <w:rPr>
          <w:rFonts w:hint="eastAsia" w:ascii="宋体" w:hAnsi="宋体"/>
          <w:b/>
          <w:bCs/>
          <w:color w:val="000000" w:themeColor="text1"/>
          <w:highlight w:val="none"/>
          <w14:textFill>
            <w14:solidFill>
              <w14:schemeClr w14:val="tx1"/>
            </w14:solidFill>
          </w14:textFill>
        </w:rPr>
        <w:t xml:space="preserve">洒水作业</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洒水作业时段。正常天气作业时间为</w:t>
      </w: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w:t>
      </w:r>
      <w:r>
        <w:rPr>
          <w:rFonts w:ascii="宋体" w:cs="宋体"/>
          <w:color w:val="000000" w:themeColor="text1"/>
          <w:highlight w:val="none"/>
          <w14:textFill>
            <w14:solidFill>
              <w14:schemeClr w14:val="tx1"/>
            </w14:solidFill>
          </w14:textFill>
        </w:rPr>
        <w:t xml:space="preserve">00</w:t>
      </w:r>
      <w:r>
        <w:rPr>
          <w:rFonts w:hint="eastAsia" w:ascii="宋体" w:hAnsi="宋体" w:cs="宋体"/>
          <w:color w:val="000000" w:themeColor="text1"/>
          <w:highlight w:val="none"/>
          <w14:textFill>
            <w14:solidFill>
              <w14:schemeClr w14:val="tx1"/>
            </w14:solidFill>
          </w14:textFill>
        </w:rPr>
        <w:t xml:space="preserve">时</w:t>
      </w:r>
      <w:r>
        <w:rPr>
          <w:rFonts w:ascii="宋体" w:hAnsi="宋体" w:cs="宋体"/>
          <w:color w:val="000000" w:themeColor="text1"/>
          <w:highlight w:val="none"/>
          <w14:textFill>
            <w14:solidFill>
              <w14:schemeClr w14:val="tx1"/>
            </w14:solidFill>
          </w14:textFill>
        </w:rPr>
        <w:t xml:space="preserve">- 18:00</w:t>
      </w:r>
      <w:r>
        <w:rPr>
          <w:rFonts w:hint="eastAsia" w:ascii="宋体" w:hAnsi="宋体" w:cs="宋体"/>
          <w:color w:val="000000" w:themeColor="text1"/>
          <w:highlight w:val="none"/>
          <w14:textFill>
            <w14:solidFill>
              <w14:schemeClr w14:val="tx1"/>
            </w14:solidFill>
          </w14:textFill>
        </w:rPr>
        <w:t xml:space="preserve">时，空气污染预警天气作业时间根据大气办的要求实时调整。（原则上气温在</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°以下、雨、雪天暂停洒水雾炮作业）；</w:t>
      </w:r>
      <w:r/>
    </w:p>
    <w:p>
      <w:pPr>
        <w:ind w:left="181"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工作要求。除雨天外</w:t>
      </w:r>
      <w:r>
        <w:rPr>
          <w:rFonts w:asci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主干道区域巡回洒水降尘巡回作业。</w:t>
      </w:r>
      <w:r/>
    </w:p>
    <w:p>
      <w:pPr>
        <w:ind w:firstLine="565"/>
        <w:spacing w:line="360" w:lineRule="auto"/>
        <w:rPr>
          <w:rFonts w:asci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7.2</w:t>
      </w:r>
      <w:r>
        <w:rPr>
          <w:rFonts w:hint="eastAsia" w:ascii="宋体" w:hAnsi="宋体"/>
          <w:b/>
          <w:bCs/>
          <w:color w:val="000000" w:themeColor="text1"/>
          <w:highlight w:val="none"/>
          <w14:textFill>
            <w14:solidFill>
              <w14:schemeClr w14:val="tx1"/>
            </w14:solidFill>
          </w14:textFill>
        </w:rPr>
        <w:t xml:space="preserve">洗扫作业</w:t>
      </w:r>
      <w:r/>
    </w:p>
    <w:p>
      <w:pPr>
        <w:ind w:firstLine="565"/>
        <w:spacing w:line="360" w:lineRule="auto"/>
        <w:rPr>
          <w:rFonts w:ascii="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洗扫作业时，行驶速度不超过</w:t>
      </w:r>
      <w:r>
        <w:rPr>
          <w:rFonts w:ascii="宋体" w:hAnsi="宋体"/>
          <w:color w:val="000000" w:themeColor="text1"/>
          <w:highlight w:val="none"/>
          <w14:textFill>
            <w14:solidFill>
              <w14:schemeClr w14:val="tx1"/>
            </w14:solidFill>
          </w14:textFill>
        </w:rPr>
        <w:t xml:space="preserve">10</w:t>
      </w:r>
      <w:r>
        <w:rPr>
          <w:rFonts w:hint="eastAsia" w:ascii="宋体" w:hAnsi="宋体"/>
          <w:color w:val="000000" w:themeColor="text1"/>
          <w:highlight w:val="none"/>
          <w14:textFill>
            <w14:solidFill>
              <w14:schemeClr w14:val="tx1"/>
            </w14:solidFill>
          </w14:textFill>
        </w:rPr>
        <w:t xml:space="preserve">公里</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小时，每天道路洗扫至少</w:t>
      </w: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次。道路机械化洗扫保洁标准要求机械设备配置齐全，满足扬尘治理需要。作业车辆安装</w:t>
      </w:r>
      <w:r>
        <w:rPr>
          <w:rFonts w:ascii="宋体" w:hAnsi="宋体"/>
          <w:color w:val="000000" w:themeColor="text1"/>
          <w:highlight w:val="none"/>
          <w14:textFill>
            <w14:solidFill>
              <w14:schemeClr w14:val="tx1"/>
            </w14:solidFill>
          </w14:textFill>
        </w:rPr>
        <w:t xml:space="preserve">GPS</w:t>
      </w:r>
      <w:r>
        <w:rPr>
          <w:rFonts w:hint="eastAsia" w:ascii="宋体" w:hAnsi="宋体"/>
          <w:color w:val="000000" w:themeColor="text1"/>
          <w:highlight w:val="none"/>
          <w14:textFill>
            <w14:solidFill>
              <w14:schemeClr w14:val="tx1"/>
            </w14:solidFill>
          </w14:textFill>
        </w:rPr>
        <w:t xml:space="preserve">与行车记录仪，实时监控。</w:t>
      </w:r>
      <w:r/>
    </w:p>
    <w:p>
      <w:pPr>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8.</w:t>
      </w:r>
      <w:r>
        <w:rPr>
          <w:rFonts w:hint="eastAsia"/>
          <w:b/>
          <w:bCs/>
          <w:color w:val="000000" w:themeColor="text1"/>
          <w:highlight w:val="none"/>
          <w14:textFill>
            <w14:solidFill>
              <w14:schemeClr w14:val="tx1"/>
            </w14:solidFill>
          </w14:textFill>
        </w:rPr>
        <w:t xml:space="preserve">垃圾中转站的日常运转维护和管理的作业要求</w:t>
      </w:r>
      <w:r/>
    </w:p>
    <w:p>
      <w:pPr>
        <w:ind w:firstLine="565"/>
        <w:spacing w:line="360" w:lineRule="auto"/>
        <w:rPr>
          <w:rFonts w:asci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8.1</w:t>
      </w:r>
      <w:r>
        <w:rPr>
          <w:rFonts w:hint="eastAsia" w:ascii="宋体" w:hAnsi="宋体"/>
          <w:b/>
          <w:bCs/>
          <w:color w:val="000000" w:themeColor="text1"/>
          <w:highlight w:val="none"/>
          <w14:textFill>
            <w14:solidFill>
              <w14:schemeClr w14:val="tx1"/>
            </w14:solidFill>
          </w14:textFill>
        </w:rPr>
        <w:t xml:space="preserve">中转站清洁标准</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、确保站内、外干净整洁，中转站内及时冲洗，不得出现散落垃圾和污渍，如在操作中出现散落垃圾需在</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分钟内予以清理。中转站箱体每天清洗，出中转站时干净整洁；场内环卫容器的清洗，内外干净、无油污；负责中转站外门前</w:t>
      </w:r>
      <w:r>
        <w:rPr>
          <w:rFonts w:ascii="宋体" w:hAnsi="宋体" w:cs="宋体"/>
          <w:color w:val="000000" w:themeColor="text1"/>
          <w:highlight w:val="none"/>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米范围内的清扫、保洁及小广告清理；中转站需做到“五无六净”的要求，即：无散落垃圾、无积水、无虫卵、无蛛网、无异味，排水沟净、墙面净、地面净、窗户净、天花板净、设备表面净；</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）中转站内外无乱张贴、刻画，无杂物堆放，工具摆放整齐。</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）每日对站内消杀不低于</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次。</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）作业过程中若发现设施损坏、故障等，及时上报维修。</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）作业时需注意自身安全，保证生产岗位的正常作业。</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、在作业过程中需打开喷淋设施，并使用生物除臭剂消除空气异味；</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、做好安全生产，包括人防、技防、物防，杜绝一切安全事故的发生；</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、文明作业，杜绝扰民现象的发生；</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、做好各中转站内厕所保洁、管理和维护；</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、垃圾运输车外无垃圾粘附物，垃圾车停用时需保持整洁。</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、垃圾中转站的垃圾需做到日积日清。</w:t>
      </w:r>
      <w:r/>
    </w:p>
    <w:p>
      <w:pPr>
        <w:ind w:firstLine="565"/>
        <w:spacing w:line="360" w:lineRule="auto"/>
        <w:rPr>
          <w:rFonts w:asci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8.2</w:t>
      </w:r>
      <w:r>
        <w:rPr>
          <w:rFonts w:hint="eastAsia" w:ascii="宋体" w:hAnsi="宋体"/>
          <w:b/>
          <w:bCs/>
          <w:color w:val="000000" w:themeColor="text1"/>
          <w:highlight w:val="none"/>
          <w14:textFill>
            <w14:solidFill>
              <w14:schemeClr w14:val="tx1"/>
            </w14:solidFill>
          </w14:textFill>
        </w:rPr>
        <w:t xml:space="preserve">中转站作业时间</w:t>
      </w:r>
      <w:r/>
    </w:p>
    <w:p>
      <w:pPr>
        <w:ind w:firstLine="567"/>
        <w:jc w:val="left"/>
        <w:spacing w:line="360" w:lineRule="auto"/>
        <w:rPr>
          <w:rFonts w:asci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、中转站作业时间为</w:t>
      </w:r>
      <w:r>
        <w:rPr>
          <w:rFonts w:ascii="宋体" w:hAnsi="宋体" w:cs="宋体"/>
          <w:color w:val="000000" w:themeColor="text1"/>
          <w:highlight w:val="none"/>
          <w14:textFill>
            <w14:solidFill>
              <w14:schemeClr w14:val="tx1"/>
            </w14:solidFill>
          </w14:textFill>
        </w:rPr>
        <w:t xml:space="preserve">5:00</w:t>
      </w:r>
      <w:r>
        <w:rPr>
          <w:rFonts w:hint="eastAsia" w:ascii="宋体" w:hAnsi="宋体" w:cs="宋体"/>
          <w:color w:val="000000" w:themeColor="text1"/>
          <w:highlight w:val="none"/>
          <w14:textFill>
            <w14:solidFill>
              <w14:schemeClr w14:val="tx1"/>
            </w14:solidFill>
          </w14:textFill>
        </w:rPr>
        <w:t xml:space="preserve">至</w:t>
      </w:r>
      <w:r>
        <w:rPr>
          <w:rFonts w:ascii="宋体" w:hAnsi="宋体" w:cs="宋体"/>
          <w:color w:val="000000" w:themeColor="text1"/>
          <w:highlight w:val="none"/>
          <w14:textFill>
            <w14:solidFill>
              <w14:schemeClr w14:val="tx1"/>
            </w14:solidFill>
          </w14:textFill>
        </w:rPr>
        <w:t xml:space="preserve">18:00</w:t>
      </w:r>
      <w:r>
        <w:rPr>
          <w:rFonts w:hint="eastAsia" w:ascii="宋体" w:hAnsi="宋体" w:cs="宋体"/>
          <w:color w:val="000000" w:themeColor="text1"/>
          <w:highlight w:val="none"/>
          <w14:textFill>
            <w14:solidFill>
              <w14:schemeClr w14:val="tx1"/>
            </w14:solidFill>
          </w14:textFill>
        </w:rPr>
        <w:t xml:space="preserve">，有夜间清运垃圾的需增加夜班，如遇重大活动保障或其他特殊情况需临时开放的，中标供应商需无条件服从，具体按采购方要求执行。期间不间断保洁，确保无异味。</w:t>
      </w:r>
      <w:r/>
    </w:p>
    <w:p>
      <w:pPr>
        <w:ind w:firstLine="565"/>
        <w:spacing w:line="360" w:lineRule="auto"/>
        <w:rPr>
          <w:rFonts w:asci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8.3</w:t>
      </w:r>
      <w:r>
        <w:rPr>
          <w:rFonts w:hint="eastAsia" w:ascii="宋体" w:hAnsi="宋体"/>
          <w:b/>
          <w:bCs/>
          <w:color w:val="000000" w:themeColor="text1"/>
          <w:highlight w:val="none"/>
          <w14:textFill>
            <w14:solidFill>
              <w14:schemeClr w14:val="tx1"/>
            </w14:solidFill>
          </w14:textFill>
        </w:rPr>
        <w:t xml:space="preserve">中转站管理要求</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作业人员严禁在中转站内外堆放废品。</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工作结束后搞好室内外环境卫生，切断电源，关闭水龙头，关锁好门窗。</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对进出中转站的运输车辆进行统一指挥管理，保持站内停车有序、整齐、规范。</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未经申报允许的车辆、装运非本区域垃圾的车辆和垃圾不分类收集的车辆不得进入中转站。</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未经允许中转站不得使用大功率电器和私拉电线。</w:t>
      </w:r>
      <w:r/>
    </w:p>
    <w:p>
      <w:pPr>
        <w:ind w:firstLine="567"/>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安排专人做好垃圾中转站的日常运行台账记录和月度报表，包括每日进出站垃圾车辆信息和垃圾量、每日消毒情况、压缩设备的日常维保情况等，每月定期上报采购方。</w:t>
      </w:r>
      <w:r/>
    </w:p>
    <w:p>
      <w:pPr>
        <w:ind w:firstLine="567"/>
        <w:jc w:val="left"/>
        <w:spacing w:line="360" w:lineRule="auto"/>
        <w:rPr>
          <w:rFonts w:asci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8.4</w:t>
      </w:r>
      <w:r>
        <w:rPr>
          <w:rFonts w:hint="eastAsia" w:ascii="宋体" w:hAnsi="宋体" w:cs="宋体"/>
          <w:b/>
          <w:bCs/>
          <w:color w:val="000000" w:themeColor="text1"/>
          <w:highlight w:val="none"/>
          <w14:textFill>
            <w14:solidFill>
              <w14:schemeClr w14:val="tx1"/>
            </w14:solidFill>
          </w14:textFill>
        </w:rPr>
        <w:t xml:space="preserve">建筑垃圾临时堆放点管理要求</w:t>
      </w:r>
      <w:r/>
    </w:p>
    <w:p>
      <w:pPr>
        <w:numPr>
          <w:ilvl w:val="0"/>
          <w:numId w:val="0"/>
        </w:numPr>
        <w:ind w:firstLine="420"/>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安排专人值守（夜间不作要求），每日开放时间为上午</w:t>
      </w:r>
      <w:r>
        <w:rPr>
          <w:rFonts w:ascii="宋体" w:hAnsi="宋体" w:cs="宋体"/>
          <w:color w:val="000000" w:themeColor="text1"/>
          <w:highlight w:val="none"/>
          <w14:textFill>
            <w14:solidFill>
              <w14:schemeClr w14:val="tx1"/>
            </w14:solidFill>
          </w14:textFill>
        </w:rPr>
        <w:t xml:space="preserve">7:00-11:00</w:t>
      </w:r>
      <w:r>
        <w:rPr>
          <w:rFonts w:hint="eastAsia" w:ascii="宋体" w:hAnsi="宋体" w:cs="宋体"/>
          <w:color w:val="000000" w:themeColor="text1"/>
          <w:highlight w:val="none"/>
          <w14:textFill>
            <w14:solidFill>
              <w14:schemeClr w14:val="tx1"/>
            </w14:solidFill>
          </w14:textFill>
        </w:rPr>
        <w:t xml:space="preserve">，下午</w:t>
      </w:r>
      <w:r>
        <w:rPr>
          <w:rFonts w:ascii="宋体" w:hAnsi="宋体" w:cs="宋体"/>
          <w:color w:val="000000" w:themeColor="text1"/>
          <w:highlight w:val="none"/>
          <w14:textFill>
            <w14:solidFill>
              <w14:schemeClr w14:val="tx1"/>
            </w14:solidFill>
          </w14:textFill>
        </w:rPr>
        <w:t xml:space="preserve">2:30-6:00.</w:t>
      </w:r>
      <w:r>
        <w:rPr>
          <w:rFonts w:hint="eastAsia" w:ascii="宋体" w:hAnsi="宋体" w:cs="宋体"/>
          <w:color w:val="000000" w:themeColor="text1"/>
          <w:highlight w:val="none"/>
          <w14:textFill>
            <w14:solidFill>
              <w14:schemeClr w14:val="tx1"/>
            </w14:solidFill>
          </w14:textFill>
        </w:rPr>
        <w:t xml:space="preserve">特殊情况接甲方电话通知后必须做到随叫随到。</w:t>
      </w:r>
      <w:r/>
    </w:p>
    <w:p>
      <w:pPr>
        <w:numPr>
          <w:ilvl w:val="0"/>
          <w:numId w:val="0"/>
        </w:numPr>
        <w:ind w:firstLine="420"/>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做好分类管理，场地内严禁倾倒除建筑垃圾（含装潢建筑材料）以外的任何垃圾杂物等。</w:t>
      </w:r>
      <w:r/>
    </w:p>
    <w:p>
      <w:pPr>
        <w:numPr>
          <w:ilvl w:val="0"/>
          <w:numId w:val="0"/>
        </w:numPr>
        <w:ind w:firstLine="420"/>
        <w:jc w:val="left"/>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建筑垃圾存放量达到</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车（双桥车标准）左右时，及时与区环卫处对接，安排车辆外运处置。</w:t>
      </w:r>
      <w:r/>
    </w:p>
    <w:p>
      <w:pPr>
        <w:ind w:firstLine="422"/>
        <w:spacing w:line="360" w:lineRule="auto"/>
        <w:rPr>
          <w:rFonts w:ascii="宋体" w:cs="宋体"/>
          <w:b/>
          <w:bCs/>
          <w:color w:val="000000" w:themeColor="text1"/>
          <w:szCs w:val="21"/>
          <w:highlight w:val="none"/>
          <w14:textFill>
            <w14:solidFill>
              <w14:schemeClr w14:val="tx1"/>
            </w14:solidFill>
          </w14:textFill>
        </w:rPr>
        <w:outlineLvl w:val="2"/>
      </w:pPr>
      <w:r>
        <w:rPr>
          <w:rFonts w:ascii="宋体" w:hAnsi="宋体" w:cs="宋体"/>
          <w:b/>
          <w:bCs/>
          <w:color w:val="000000" w:themeColor="text1"/>
          <w:szCs w:val="21"/>
          <w:highlight w:val="none"/>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公厕保洁服务</w:t>
      </w:r>
      <w:r>
        <w:rPr>
          <w:rFonts w:hint="eastAsia" w:ascii="宋体" w:hAnsi="宋体" w:cs="宋体"/>
          <w:b/>
          <w:bCs/>
          <w:color w:val="000000" w:themeColor="text1"/>
          <w:szCs w:val="21"/>
          <w:highlight w:val="none"/>
          <w14:textFill>
            <w14:solidFill>
              <w14:schemeClr w14:val="tx1"/>
            </w14:solidFill>
          </w14:textFill>
        </w:rPr>
        <w:t xml:space="preserve">作业要求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）中标供应商在服务期间需确保公厕设施完好无损，若出现损坏及时修复，由此产生的费用由中标供应商负责承担。公共厕所的管理符合《公共厕所卫生规范》的要求。</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）负责服务范围内公厕的清扫、清洗、保洁、除臭、化粪池清理和清运，除“四害”以及厕内所有相关设施设备的维修维护管理保养工作，粪便需按规定进行无害化处理。公厕实行</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小时巡回保洁。厕内设施齐全、完整，无损坏，做到“三通”（通水、通电、排污管道畅通）。</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公厕内地面保持整洁，粪槽、便槽（斗）和管道无破损，内外墙无剥落；有防蝇、防蚊和除臭设施或措施；有经过培训的专人管理，有保洁制度；公厕内采光、照明和通风良好，无明显臭味；环境卫生良好，座便器、蹲位整洁，管道畅通；照明灯具、洗手器具等设施完好；公厕设有醒目标志牌、创文创卫宣传标语、制度上墙，方便群众入厕；蚊蝇滋生季节，定时喷洒灭蚊蝇药物，有效控制蝇蛆滋生。</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）水电设备及水冲工</w:t>
      </w:r>
      <w:r>
        <w:rPr>
          <w:rFonts w:hint="eastAsia" w:ascii="宋体" w:hAnsi="宋体" w:cs="宋体"/>
          <w:color w:val="000000" w:themeColor="text1"/>
          <w:szCs w:val="21"/>
          <w:highlight w:val="none"/>
          <w14:textFill>
            <w14:solidFill>
              <w14:schemeClr w14:val="tx1"/>
            </w14:solidFill>
          </w14:textFill>
        </w:rPr>
        <w:t xml:space="preserve">具完好。公厕内照明灯（管），洗手台具，整容镜，挂物钩，烘干器等设施配置需完好有效，无积存、无污物、无污迹；设施损坏需及时修复。公厕内需整洁，无乱堆杂物，清扫保洁工具需放置整齐。无乱张贴（涂画）、无乱拉挂、无乱搭建。厕内外指示牌、标志牌规范。定期开展消毒、除“四害”，并负责周边范围内的环境卫生工作。由中标供应商负责公厕设施管理（门，窗损坏遗失，墙体、瓷砖脱落，地板爆裂，房屋漏水，水管破裂，通风，照明，污水管网、化粪池堵塞等），巡查发现上述等情况要立即作出处理。每个厕所需做好台账记录，每月将记录台账抄送采购人。</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粪便收集清运要根据服务人口数量，化粪池的粪便、粪渣、粪水达到设计容量时及时进行清运，并按规定进行无害化处理。地下化粪池无渗、无漏、无溢，并设有防火、防爆等安全标识。收集和运输设施设备密闭性好，清运粪便过程无溢流。保持作业场地清洁卫生，无遗撒粪便。清运作业结束后，需盖严（修复）粪池口，并及时清洗场地和清运工具。</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）管理人员及岗位责任制要落实，定时清扫，按时保洁。</w:t>
      </w:r>
      <w:r/>
    </w:p>
    <w:p>
      <w:pPr>
        <w:ind w:firstLine="420"/>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公厕的日常保洁管理要达到“六无、四净”标准，厕内及周围环境卫生做到“六无”（即：无痰涕纸屑、无屎尿溢塞、无积尘蛛网、无污泥积水、无蝇蛆、无明显臭味）、“四净”（即：地面、蹲位、挡墙净；粪槽、尿槽、池斗净；门窗设备净；周围环境净）。满足《城镇环境卫生设施设置标准》、《公共厕所卫生规范》等要求。</w:t>
      </w:r>
      <w:r/>
    </w:p>
    <w:p>
      <w:pPr>
        <w:pStyle w:val="876"/>
        <w:ind w:firstLine="0"/>
        <w:rPr>
          <w:rFonts w:cs="宋体"/>
          <w:b/>
          <w:bCs/>
          <w:color w:val="000000" w:themeColor="text1"/>
          <w:szCs w:val="21"/>
          <w:highlight w:val="none"/>
          <w14:textFill>
            <w14:solidFill>
              <w14:schemeClr w14:val="tx1"/>
            </w14:solidFill>
          </w14:textFill>
        </w:rPr>
      </w:pPr>
      <w:r>
        <w:rPr>
          <w:rFonts w:cs="宋体"/>
          <w:b/>
          <w:bCs/>
          <w:color w:val="000000" w:themeColor="text1"/>
          <w:szCs w:val="21"/>
          <w:highlight w:val="none"/>
          <w14:textFill>
            <w14:solidFill>
              <w14:schemeClr w14:val="tx1"/>
            </w14:solidFill>
          </w14:textFill>
        </w:rPr>
        <w:t xml:space="preserve">10.</w:t>
      </w:r>
      <w:r>
        <w:rPr>
          <w:rFonts w:hint="eastAsia" w:cs="宋体"/>
          <w:b/>
          <w:bCs/>
          <w:color w:val="000000" w:themeColor="text1"/>
          <w:szCs w:val="21"/>
          <w:highlight w:val="none"/>
          <w14:textFill>
            <w14:solidFill>
              <w14:schemeClr w14:val="tx1"/>
            </w14:solidFill>
          </w14:textFill>
        </w:rPr>
        <w:t xml:space="preserve">垃圾分类的作业要求</w:t>
      </w:r>
      <w:r/>
    </w:p>
    <w:p>
      <w:pPr>
        <w:pStyle w:val="876"/>
        <w:ind w:firstLine="422"/>
        <w:rPr>
          <w:rFonts w:cs="宋体"/>
          <w:b/>
          <w:bCs/>
          <w:color w:val="000000" w:themeColor="text1"/>
          <w:szCs w:val="21"/>
          <w:highlight w:val="none"/>
          <w14:textFill>
            <w14:solidFill>
              <w14:schemeClr w14:val="tx1"/>
            </w14:solidFill>
          </w14:textFill>
        </w:rPr>
      </w:pPr>
      <w:r>
        <w:rPr>
          <w:rFonts w:cs="宋体"/>
          <w:b/>
          <w:bCs/>
          <w:color w:val="000000" w:themeColor="text1"/>
          <w:szCs w:val="21"/>
          <w:highlight w:val="none"/>
          <w14:textFill>
            <w14:solidFill>
              <w14:schemeClr w14:val="tx1"/>
            </w14:solidFill>
          </w14:textFill>
        </w:rPr>
        <w:t xml:space="preserve">10.1</w:t>
      </w:r>
      <w:r>
        <w:rPr>
          <w:rFonts w:hint="eastAsia" w:cs="宋体"/>
          <w:b/>
          <w:bCs/>
          <w:color w:val="000000" w:themeColor="text1"/>
          <w:szCs w:val="21"/>
          <w:highlight w:val="none"/>
          <w14:textFill>
            <w14:solidFill>
              <w14:schemeClr w14:val="tx1"/>
            </w14:solidFill>
          </w14:textFill>
        </w:rPr>
        <w:t xml:space="preserve">组织机构要求</w:t>
      </w:r>
      <w:r/>
    </w:p>
    <w:p>
      <w:pPr>
        <w:pStyle w:val="876"/>
        <w:ind w:firstLine="42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中标供应商配合垃圾分类工作，员工都要熟知垃圾分类知识要点。</w:t>
      </w:r>
      <w:r/>
    </w:p>
    <w:p>
      <w:pPr>
        <w:pStyle w:val="876"/>
        <w:ind w:firstLine="422"/>
        <w:rPr>
          <w:rFonts w:cs="宋体"/>
          <w:b/>
          <w:bCs/>
          <w:color w:val="000000" w:themeColor="text1"/>
          <w:szCs w:val="21"/>
          <w:highlight w:val="none"/>
          <w14:textFill>
            <w14:solidFill>
              <w14:schemeClr w14:val="tx1"/>
            </w14:solidFill>
          </w14:textFill>
        </w:rPr>
      </w:pPr>
      <w:r>
        <w:rPr>
          <w:rFonts w:cs="宋体"/>
          <w:b/>
          <w:bCs/>
          <w:color w:val="000000" w:themeColor="text1"/>
          <w:szCs w:val="21"/>
          <w:highlight w:val="none"/>
          <w14:textFill>
            <w14:solidFill>
              <w14:schemeClr w14:val="tx1"/>
            </w14:solidFill>
          </w14:textFill>
        </w:rPr>
        <w:t xml:space="preserve">10.2</w:t>
      </w:r>
      <w:r>
        <w:rPr>
          <w:rFonts w:hint="eastAsia" w:cs="宋体"/>
          <w:b/>
          <w:bCs/>
          <w:color w:val="000000" w:themeColor="text1"/>
          <w:szCs w:val="21"/>
          <w:highlight w:val="none"/>
          <w14:textFill>
            <w14:solidFill>
              <w14:schemeClr w14:val="tx1"/>
            </w14:solidFill>
          </w14:textFill>
        </w:rPr>
        <w:t xml:space="preserve">分类工作成效标准</w:t>
      </w:r>
      <w:r/>
    </w:p>
    <w:p>
      <w:pPr>
        <w:pStyle w:val="876"/>
        <w:ind w:firstLine="42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1</w:t>
      </w:r>
      <w:r>
        <w:rPr>
          <w:rFonts w:hint="eastAsia" w:cs="宋体"/>
          <w:color w:val="000000" w:themeColor="text1"/>
          <w:szCs w:val="21"/>
          <w:highlight w:val="none"/>
          <w14:textFill>
            <w14:solidFill>
              <w14:schemeClr w14:val="tx1"/>
            </w14:solidFill>
          </w14:textFill>
        </w:rPr>
        <w:t xml:space="preserve">）目前省、市正在推进生活垃圾分类工作，中标供应商应配合采购人及上级政府（部门）的有关要求，集镇范围内垃圾分类严格执行扬州市地方标准《城乡生活垃圾分类管理规范》等生活垃圾分类管理方案的有关规定。</w:t>
      </w:r>
      <w:r/>
    </w:p>
    <w:p>
      <w:pPr>
        <w:pStyle w:val="876"/>
        <w:ind w:firstLine="42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）全力配合完成生活垃圾分类示范创建工作</w:t>
      </w:r>
      <w:r/>
    </w:p>
    <w:p>
      <w:pPr>
        <w:pStyle w:val="876"/>
        <w:ind w:firstLine="0"/>
        <w:rPr>
          <w:rFonts w:cs="宋体"/>
          <w:b/>
          <w:bCs/>
          <w:color w:val="000000" w:themeColor="text1"/>
          <w:szCs w:val="21"/>
          <w:highlight w:val="none"/>
          <w14:textFill>
            <w14:solidFill>
              <w14:schemeClr w14:val="tx1"/>
            </w14:solidFill>
          </w14:textFill>
        </w:rPr>
      </w:pPr>
      <w:r>
        <w:rPr>
          <w:rFonts w:cs="宋体"/>
          <w:b/>
          <w:bCs/>
          <w:color w:val="000000" w:themeColor="text1"/>
          <w:szCs w:val="21"/>
          <w:highlight w:val="none"/>
          <w14:textFill>
            <w14:solidFill>
              <w14:schemeClr w14:val="tx1"/>
            </w14:solidFill>
          </w14:textFill>
        </w:rPr>
        <w:t xml:space="preserve">11.</w:t>
      </w:r>
      <w:r>
        <w:rPr>
          <w:rFonts w:hint="eastAsia" w:cs="宋体"/>
          <w:b/>
          <w:bCs/>
          <w:color w:val="000000" w:themeColor="text1"/>
          <w:szCs w:val="21"/>
          <w:highlight w:val="none"/>
          <w14:textFill>
            <w14:solidFill>
              <w14:schemeClr w14:val="tx1"/>
            </w14:solidFill>
          </w14:textFill>
        </w:rPr>
        <w:t xml:space="preserve">扫雪、除冰、除淤等作业要求</w:t>
      </w:r>
      <w:r/>
    </w:p>
    <w:p>
      <w:pPr>
        <w:ind w:firstLine="422"/>
        <w:spacing w:line="360" w:lineRule="auto"/>
        <w:rPr>
          <w:rFonts w:ascii="宋体" w:cs="宋体"/>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11.1 </w:t>
      </w:r>
      <w:r>
        <w:rPr>
          <w:rFonts w:hint="eastAsia" w:ascii="宋体" w:hAnsi="宋体" w:cs="宋体"/>
          <w:b/>
          <w:bCs/>
          <w:color w:val="000000" w:themeColor="text1"/>
          <w:szCs w:val="21"/>
          <w:highlight w:val="none"/>
          <w14:textFill>
            <w14:solidFill>
              <w14:schemeClr w14:val="tx1"/>
            </w14:solidFill>
          </w14:textFill>
        </w:rPr>
        <w:t xml:space="preserve">冬季扫雪除冰的作业要求</w:t>
      </w:r>
      <w:r>
        <w:rPr>
          <w:rFonts w:ascii="宋体" w:hAnsi="宋体" w:cs="宋体"/>
          <w:b/>
          <w:bCs/>
          <w:color w:val="000000" w:themeColor="text1"/>
          <w:szCs w:val="21"/>
          <w:highlight w:val="none"/>
          <w14:textFill>
            <w14:solidFill>
              <w14:schemeClr w14:val="tx1"/>
            </w14:solidFill>
          </w14:textFill>
        </w:rPr>
        <w:t xml:space="preserve"> </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）机械作业</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当雪量</w:t>
      </w:r>
      <w:r>
        <w:rPr>
          <w:rFonts w:hint="eastAsia" w:asci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5cm</w:t>
      </w:r>
      <w:r>
        <w:rPr>
          <w:rFonts w:hint="eastAsia" w:ascii="宋体" w:hAnsi="宋体" w:cs="宋体"/>
          <w:color w:val="000000" w:themeColor="text1"/>
          <w:szCs w:val="21"/>
          <w:highlight w:val="none"/>
          <w14:textFill>
            <w14:solidFill>
              <w14:schemeClr w14:val="tx1"/>
            </w14:solidFill>
          </w14:textFill>
        </w:rPr>
        <w:t xml:space="preserve">时，</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使用扫雪车以</w:t>
      </w:r>
      <w:r>
        <w:rPr>
          <w:rFonts w:ascii="宋体" w:hAnsi="宋体" w:cs="宋体"/>
          <w:color w:val="000000" w:themeColor="text1"/>
          <w:szCs w:val="21"/>
          <w:highlight w:val="none"/>
          <w14:textFill>
            <w14:solidFill>
              <w14:schemeClr w14:val="tx1"/>
            </w14:solidFill>
          </w14:textFill>
        </w:rPr>
        <w:t xml:space="preserve">20-30km/h</w:t>
      </w:r>
      <w:r>
        <w:rPr>
          <w:rFonts w:hint="eastAsia" w:ascii="宋体" w:hAnsi="宋体" w:cs="宋体"/>
          <w:color w:val="000000" w:themeColor="text1"/>
          <w:szCs w:val="21"/>
          <w:highlight w:val="none"/>
          <w14:textFill>
            <w14:solidFill>
              <w14:schemeClr w14:val="tx1"/>
            </w14:solidFill>
          </w14:textFill>
        </w:rPr>
        <w:t xml:space="preserve">速度作业，后跟融雪剂撒布车进行防冰处理；当雪量≥</w:t>
      </w:r>
      <w:r>
        <w:rPr>
          <w:rFonts w:ascii="宋体" w:hAnsi="宋体" w:cs="宋体"/>
          <w:color w:val="000000" w:themeColor="text1"/>
          <w:szCs w:val="21"/>
          <w:highlight w:val="none"/>
          <w14:textFill>
            <w14:solidFill>
              <w14:schemeClr w14:val="tx1"/>
            </w14:solidFill>
          </w14:textFill>
        </w:rPr>
        <w:t xml:space="preserve">5cm</w:t>
      </w:r>
      <w:r>
        <w:rPr>
          <w:rFonts w:hint="eastAsia" w:ascii="宋体" w:hAnsi="宋体" w:cs="宋体"/>
          <w:color w:val="000000" w:themeColor="text1"/>
          <w:szCs w:val="21"/>
          <w:highlight w:val="none"/>
          <w14:textFill>
            <w14:solidFill>
              <w14:schemeClr w14:val="tx1"/>
            </w14:solidFill>
          </w14:textFill>
        </w:rPr>
        <w:t xml:space="preserve">时：</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组合推雪车、扫雪车与融雪剂撒布车联合作业，采用“推雪→扫雪→撒布”三步流程；当路段结冰时，增加破冰车破冰环节，执行</w:t>
      </w:r>
      <w:r>
        <w:rPr>
          <w:rFonts w:hint="eastAsia"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破冰</w:t>
      </w:r>
      <w:r>
        <w:rPr>
          <w:rFonts w:hint="eastAsia"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扫雪</w:t>
      </w:r>
      <w:r>
        <w:rPr>
          <w:rFonts w:hint="eastAsia"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撒布</w:t>
      </w:r>
      <w:r>
        <w:rPr>
          <w:rFonts w:hint="eastAsia"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流程。优先保障立交桥、主干道及公交车道，按“先打通一条路，再扩展两侧”顺序推进。暴雪时启动机械征用机制，延长作业时间并提升清运频次。</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）人工作业</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）融雪剂使用</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气温≤</w:t>
      </w:r>
      <w:r>
        <w:rPr>
          <w:rFonts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℃时优先撒布防冻结冰，融雪剂用量根据温度动态调整（</w:t>
      </w:r>
      <w:r>
        <w:rPr>
          <w:rFonts w:ascii="宋体" w:cs="宋体"/>
          <w:color w:val="000000" w:themeColor="text1"/>
          <w:szCs w:val="21"/>
          <w:highlight w:val="none"/>
          <w14:textFill>
            <w14:solidFill>
              <w14:schemeClr w14:val="tx1"/>
            </w14:solidFill>
          </w14:textFill>
        </w:rPr>
        <w:t xml:space="preserve">0</w:t>
      </w:r>
      <w:r>
        <w:rPr>
          <w:rFonts w:hint="eastAsia" w:ascii="宋体" w:hAnsi="宋体" w:cs="宋体"/>
          <w:color w:val="000000" w:themeColor="text1"/>
          <w:szCs w:val="21"/>
          <w:highlight w:val="none"/>
          <w14:textFill>
            <w14:solidFill>
              <w14:schemeClr w14:val="tx1"/>
            </w14:solidFill>
          </w14:textFill>
        </w:rPr>
        <w:t xml:space="preserve">℃用量下限，低温取上限）。采用撒布机精准控制剂量，确保均匀覆盖且单位面积用量≤规范限值。含融雪剂的积雪需集中转运至指定场所，严禁堆放于绿地或水源地周边。</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）防滑垫</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根据天气预报提前布设防滑垫，需对突发降雪或冻雨，在易积雪结冰处加设防滑垫，并与警示标识配合使用。及时清理表面冰渣、积水，检查磨损情况并及时更换破损垫片。</w:t>
      </w:r>
      <w:r/>
    </w:p>
    <w:p>
      <w:pPr>
        <w:ind w:firstLine="422"/>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11.2 </w:t>
      </w:r>
      <w:r>
        <w:rPr>
          <w:rFonts w:hint="eastAsia" w:ascii="宋体" w:hAnsi="宋体" w:cs="宋体"/>
          <w:b/>
          <w:bCs/>
          <w:color w:val="000000" w:themeColor="text1"/>
          <w:szCs w:val="21"/>
          <w:highlight w:val="none"/>
          <w14:textFill>
            <w14:solidFill>
              <w14:schemeClr w14:val="tx1"/>
            </w14:solidFill>
          </w14:textFill>
        </w:rPr>
        <w:t xml:space="preserve">夏季除淤的作业要求</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）雨前准备。按照防微杜渐、汛情命令、盯守巡查、责任追究的原则，认真落实夏季防汛工作，达到防汛工作整体安排科学周密。道路保洁工作需确保</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汛前预防工作充分完备。需巡查各岗位保洁员的工作，及时清扫道路上的垃圾杂物，及时清理道路上的建筑渣土</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避免将其冲入地下排水管道。</w:t>
      </w:r>
      <w:r>
        <w:rPr>
          <w:rFonts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雨后道路清淤。需及时清扫地面上的所有垃圾袋、纸屑、树叶、泥土、石子及其他杂物；发生塌陷或有大量泥土、泥沙冲至路面绿地时，需协助绿化工人及时清运、打扫现场；需查看雨水井、管道排水是否畅通，防止发生堵塞外溢。</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除淤要求：达到“三净、二无、二不”的工作标准。“三净”标准：路面净、便道净、路牙净；“二无”标准：无遗漏、无堆积；“二不”标准：除淤不得损坏路面、淤泥不得倒入垃圾池（草坪、花池和树坑内）。</w:t>
      </w:r>
      <w:r/>
    </w:p>
    <w:p>
      <w:pPr>
        <w:ind w:firstLine="422"/>
        <w:spacing w:line="360" w:lineRule="auto"/>
        <w:rPr>
          <w:rFonts w:ascii="宋体" w:cs="宋体"/>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11.3 </w:t>
      </w:r>
      <w:r>
        <w:rPr>
          <w:rFonts w:hint="eastAsia" w:ascii="宋体" w:hAnsi="宋体" w:cs="宋体"/>
          <w:b/>
          <w:bCs/>
          <w:color w:val="000000" w:themeColor="text1"/>
          <w:szCs w:val="21"/>
          <w:highlight w:val="none"/>
          <w14:textFill>
            <w14:solidFill>
              <w14:schemeClr w14:val="tx1"/>
            </w14:solidFill>
          </w14:textFill>
        </w:rPr>
        <w:t xml:space="preserve">大风天气保洁</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）加强大风天气落叶清扫收运车辆维修与维护工作。积极开展车辆大排查工作，对存在安全隐患的车辆进行及时维修与更换，提高车辆工作效率。</w:t>
      </w:r>
      <w:r>
        <w:rPr>
          <w:rFonts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）落实物资储备工作，购买充足的编织袋等物资，保障落叶收运有序开展。</w:t>
      </w:r>
      <w:r>
        <w:rPr>
          <w:rFonts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）充分发挥机械作业效能，采取人机结合的方式，做到随落叶随收集、随装袋，确保落叶及时清扫和收运。</w:t>
      </w:r>
      <w:r>
        <w:rPr>
          <w:rFonts w:ascii="宋体" w:hAnsi="宋体" w:cs="宋体"/>
          <w:color w:val="000000" w:themeColor="text1"/>
          <w:szCs w:val="21"/>
          <w:highlight w:val="none"/>
          <w14:textFill>
            <w14:solidFill>
              <w14:schemeClr w14:val="tx1"/>
            </w14:solidFill>
          </w14:textFill>
        </w:rPr>
        <w:t xml:space="preserve"> </w:t>
      </w:r>
      <w:r/>
    </w:p>
    <w:p>
      <w:pPr>
        <w:pStyle w:val="876"/>
        <w:ind w:firstLine="42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4</w:t>
      </w:r>
      <w:r>
        <w:rPr>
          <w:rFonts w:hint="eastAsia" w:cs="宋体"/>
          <w:color w:val="000000" w:themeColor="text1"/>
          <w:szCs w:val="21"/>
          <w:highlight w:val="none"/>
          <w14:textFill>
            <w14:solidFill>
              <w14:schemeClr w14:val="tx1"/>
            </w14:solidFill>
          </w14:textFill>
        </w:rPr>
        <w:t xml:space="preserve">）合理调度车辆，提高作业效率，对落叶集中路段进行重点集中清扫与收运。</w:t>
      </w:r>
      <w:r/>
    </w:p>
    <w:p>
      <w:pPr>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12 </w:t>
      </w:r>
      <w:r>
        <w:rPr>
          <w:rFonts w:hint="eastAsia" w:ascii="宋体" w:hAnsi="宋体" w:cs="宋体"/>
          <w:b/>
          <w:bCs/>
          <w:color w:val="000000" w:themeColor="text1"/>
          <w:szCs w:val="21"/>
          <w:highlight w:val="none"/>
          <w14:textFill>
            <w14:solidFill>
              <w14:schemeClr w14:val="tx1"/>
            </w14:solidFill>
          </w14:textFill>
        </w:rPr>
        <w:t xml:space="preserve">绿化养护要求</w:t>
      </w:r>
      <w:r/>
    </w:p>
    <w:p>
      <w:pPr>
        <w:ind w:firstLine="422"/>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12.1 </w:t>
      </w:r>
      <w:r>
        <w:rPr>
          <w:rFonts w:hint="eastAsia" w:ascii="宋体" w:hAnsi="宋体" w:cs="宋体"/>
          <w:b/>
          <w:bCs/>
          <w:color w:val="000000" w:themeColor="text1"/>
          <w:szCs w:val="21"/>
          <w:highlight w:val="none"/>
          <w14:textFill>
            <w14:solidFill>
              <w14:schemeClr w14:val="tx1"/>
            </w14:solidFill>
          </w14:textFill>
        </w:rPr>
        <w:t xml:space="preserve">病虫害防治</w:t>
      </w:r>
      <w:r/>
    </w:p>
    <w:p>
      <w:pPr>
        <w:ind w:firstLine="422"/>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）及时防治和控制病虫害的发生</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无群众举报、媒体曝光等事件发生。</w:t>
      </w:r>
      <w:r/>
    </w:p>
    <w:p>
      <w:pPr>
        <w:ind w:firstLine="420"/>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）用药配比正确</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操作安全</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喷药均匀</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不发生药害事故。</w:t>
      </w:r>
      <w:r/>
    </w:p>
    <w:p>
      <w:pPr>
        <w:ind w:firstLine="422"/>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12.2 </w:t>
      </w:r>
      <w:r>
        <w:rPr>
          <w:rFonts w:hint="eastAsia" w:ascii="宋体" w:hAnsi="宋体" w:cs="宋体"/>
          <w:b/>
          <w:bCs/>
          <w:color w:val="000000" w:themeColor="text1"/>
          <w:szCs w:val="21"/>
          <w:highlight w:val="none"/>
          <w14:textFill>
            <w14:solidFill>
              <w14:schemeClr w14:val="tx1"/>
            </w14:solidFill>
          </w14:textFill>
        </w:rPr>
        <w:t xml:space="preserve">施肥、扶正、抗旱排涝、防冻、叶面蒙尘清除</w:t>
      </w:r>
      <w:r/>
    </w:p>
    <w:p>
      <w:pPr>
        <w:ind w:firstLine="422"/>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）根据植株生长势</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及时施肥、追肥。</w:t>
      </w:r>
      <w:r/>
    </w:p>
    <w:p>
      <w:pPr>
        <w:ind w:firstLine="422"/>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）及时扶正</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植株基本无歪斜倒伏现象。</w:t>
      </w:r>
      <w:r/>
    </w:p>
    <w:p>
      <w:pPr>
        <w:ind w:firstLine="422"/>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）叶面基本无蒙尘及粘滞物。</w:t>
      </w:r>
      <w:r/>
    </w:p>
    <w:p>
      <w:pPr>
        <w:ind w:firstLine="422"/>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）及时抗旱、排涝等，冬季易冻害的树木未及时采取防冻处理。</w:t>
      </w:r>
      <w:r/>
    </w:p>
    <w:p>
      <w:pPr>
        <w:ind w:firstLine="422"/>
        <w:spacing w:line="360" w:lineRule="auto"/>
        <w:rPr>
          <w:color w:val="000000" w:themeColor="text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12.3 </w:t>
      </w:r>
      <w:r>
        <w:rPr>
          <w:rFonts w:hint="eastAsia" w:ascii="宋体" w:hAnsi="宋体" w:cs="宋体"/>
          <w:b/>
          <w:bCs/>
          <w:color w:val="000000" w:themeColor="text1"/>
          <w:szCs w:val="21"/>
          <w:highlight w:val="none"/>
          <w14:textFill>
            <w14:solidFill>
              <w14:schemeClr w14:val="tx1"/>
            </w14:solidFill>
          </w14:textFill>
        </w:rPr>
        <w:t xml:space="preserve">绿化除草、清除垃圾</w:t>
      </w:r>
      <w:r/>
    </w:p>
    <w:p>
      <w:pPr>
        <w:ind w:firstLine="422"/>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）及时修剪草坪、花木，日常无高杂草</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，无垃圾。</w:t>
      </w:r>
      <w:r/>
    </w:p>
    <w:p>
      <w:pPr>
        <w:ind w:firstLine="422"/>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）绿地及广场整洁</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基本无杂物、无白色污染</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树挂</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）绿地内水面杂物及时清理</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基本做到巡视保洁。</w:t>
      </w:r>
      <w:r/>
    </w:p>
    <w:p>
      <w:pPr>
        <w:ind w:firstLine="422"/>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12.4 </w:t>
      </w:r>
      <w:r>
        <w:rPr>
          <w:rFonts w:hint="eastAsia" w:ascii="宋体" w:hAnsi="宋体" w:cs="宋体"/>
          <w:b/>
          <w:bCs/>
          <w:color w:val="000000" w:themeColor="text1"/>
          <w:szCs w:val="21"/>
          <w:highlight w:val="none"/>
          <w14:textFill>
            <w14:solidFill>
              <w14:schemeClr w14:val="tx1"/>
            </w14:solidFill>
          </w14:textFill>
        </w:rPr>
        <w:t xml:space="preserve">卫生保洁</w:t>
      </w:r>
      <w:r/>
    </w:p>
    <w:p>
      <w:pPr>
        <w:ind w:firstLine="422"/>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）废弃物</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如树枝、树叶、草屑等</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基本做到重点地区随产随清</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其它地区日产日清。能坚持在重大节日前进行突击清理。</w:t>
      </w:r>
      <w:r/>
    </w:p>
    <w:p>
      <w:pPr>
        <w:ind w:firstLine="422"/>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）禁止在草坪和树木附近焚烧枯枝树叶。</w:t>
      </w:r>
      <w:r/>
    </w:p>
    <w:p>
      <w:pPr>
        <w:ind w:firstLine="422"/>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12.5 </w:t>
      </w:r>
      <w:r>
        <w:rPr>
          <w:rFonts w:hint="eastAsia" w:ascii="宋体" w:hAnsi="宋体" w:cs="宋体"/>
          <w:b/>
          <w:bCs/>
          <w:color w:val="000000" w:themeColor="text1"/>
          <w:szCs w:val="21"/>
          <w:highlight w:val="none"/>
          <w14:textFill>
            <w14:solidFill>
              <w14:schemeClr w14:val="tx1"/>
            </w14:solidFill>
          </w14:textFill>
        </w:rPr>
        <w:t xml:space="preserve">绿地保护</w:t>
      </w:r>
      <w:r/>
    </w:p>
    <w:p>
      <w:pPr>
        <w:ind w:firstLine="422"/>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）绿地中基本无堆物、堆料、搭棚、无明显的人为破坏或侵占</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建筑墙面和行道树树杆上基本无钉栓刻画等现象。</w:t>
      </w:r>
      <w:r/>
    </w:p>
    <w:p>
      <w:pPr>
        <w:ind w:firstLine="422"/>
        <w:spacing w:line="360" w:lineRule="auto"/>
        <w:rPr>
          <w:rFonts w:asci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）绿地管理人员保证在岗在位，</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无重大破坏和偷盗案件。</w:t>
      </w:r>
      <w:r/>
    </w:p>
    <w:p>
      <w:pPr>
        <w:ind w:firstLine="422"/>
        <w:spacing w:line="360" w:lineRule="auto"/>
        <w:tabs>
          <w:tab w:val="left" w:pos="7770" w:leader="none"/>
        </w:tabs>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四、作业人员要求</w:t>
      </w:r>
      <w:r/>
    </w:p>
    <w:p>
      <w:pPr>
        <w:ind w:firstLine="420"/>
        <w:spacing w:line="360" w:lineRule="auto"/>
        <w:tabs>
          <w:tab w:val="left" w:pos="7770" w:leader="none"/>
        </w:tabs>
        <w:rPr>
          <w:rFonts w:ascii="宋体" w:cs="宋体"/>
          <w:i/>
          <w:iCs/>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4.1</w:t>
      </w:r>
      <w:r>
        <w:rPr>
          <w:rFonts w:hint="eastAsia" w:ascii="宋体" w:hAnsi="宋体" w:cs="宋体"/>
          <w:color w:val="000000" w:themeColor="text1"/>
          <w:szCs w:val="21"/>
          <w:highlight w:val="none"/>
          <w14:textFill>
            <w14:solidFill>
              <w14:schemeClr w14:val="tx1"/>
            </w14:solidFill>
          </w14:textFill>
        </w:rPr>
        <w:t xml:space="preserve">本包人员岗位具体要求按前款“包</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市场化最低核定人数</w:t>
      </w:r>
      <w:r>
        <w:rPr>
          <w:rFonts w:hint="eastAsia"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表格执行。</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项目负责人：熟悉环卫智能化管理，有较强的决策分析和解决问题能力，有较强的管理能力和组织协调能力，服务意识强，责任心强，身体健康，吃苦耐劳，遵纪守法，作风正派，品行端正，有较强的敬业精神；</w:t>
      </w:r>
      <w:r/>
    </w:p>
    <w:p>
      <w:pPr>
        <w:ind w:firstLine="420"/>
        <w:spacing w:line="360" w:lineRule="auto"/>
        <w:tabs>
          <w:tab w:val="left" w:pos="7770"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管理人员</w:t>
      </w:r>
      <w:r>
        <w:rPr>
          <w:rFonts w:hint="eastAsia" w:ascii="宋体" w:hAnsi="宋体" w:cs="宋体"/>
          <w:color w:val="000000" w:themeColor="text1"/>
          <w:szCs w:val="21"/>
          <w:highlight w:val="none"/>
          <w14:textFill>
            <w14:solidFill>
              <w14:schemeClr w14:val="tx1"/>
            </w14:solidFill>
          </w14:textFill>
        </w:rPr>
        <w:t xml:space="preserve">：协助项目经理进行环卫智能化管理，有较强解决问题能力，有较强的组织协调能力，服务意识强，责任心强，身体健康，吃苦耐劳，遵纪守法，作风正派，品行端正，有较强的敬业精神；</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）驾驶员：具有相关作业机动车驾驶证，服务意识强，责任心强，身体健康，吃苦耐劳，遵纪守法，作风正派，品行端正，有较强的敬业精神；</w:t>
      </w:r>
      <w:r/>
    </w:p>
    <w:p>
      <w:pPr>
        <w:ind w:firstLine="420"/>
        <w:spacing w:line="360" w:lineRule="auto"/>
        <w:tabs>
          <w:tab w:val="left" w:pos="7770" w:leader="none"/>
        </w:tabs>
        <w:rPr>
          <w:rFonts w:ascii="宋体" w:cs="宋体"/>
          <w:i/>
          <w:i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）保洁员、中转站操作工、建筑垃圾临时点管理人员、垃圾清运工、绿化养护工：服务意识强，责任心强，身体健康，吃苦耐劳，遵纪守法，作风正派，品行端正，有较强的敬业精神。</w:t>
      </w:r>
      <w:r/>
    </w:p>
    <w:p>
      <w:pPr>
        <w:ind w:firstLine="420"/>
        <w:spacing w:line="360" w:lineRule="auto"/>
        <w:tabs>
          <w:tab w:val="left" w:pos="7770" w:leader="none"/>
        </w:tabs>
        <w:rPr>
          <w:rFonts w:ascii="宋体" w:cs="宋体"/>
          <w:i/>
          <w:iCs/>
          <w:color w:val="000000" w:themeColor="text1"/>
          <w:szCs w:val="21"/>
          <w:highlight w:val="none"/>
          <w:u w:val="single"/>
          <w14:textFill>
            <w14:solidFill>
              <w14:schemeClr w14:val="tx1"/>
            </w14:solidFill>
          </w14:textFill>
        </w:rPr>
      </w:pPr>
      <w:r>
        <w:rPr>
          <w:rFonts w:ascii="宋体" w:hAnsi="宋体" w:cs="宋体"/>
          <w:i/>
          <w:iCs/>
          <w:color w:val="000000" w:themeColor="text1"/>
          <w:szCs w:val="21"/>
          <w:highlight w:val="none"/>
          <w:u w:val="single"/>
          <w14:textFill>
            <w14:solidFill>
              <w14:schemeClr w14:val="tx1"/>
            </w14:solidFill>
          </w14:textFill>
        </w:rPr>
        <w:t xml:space="preserve">4.2</w:t>
      </w:r>
      <w:r>
        <w:rPr>
          <w:rFonts w:hint="eastAsia" w:ascii="宋体" w:hAnsi="宋体" w:cs="宋体"/>
          <w:i/>
          <w:iCs/>
          <w:color w:val="000000" w:themeColor="text1"/>
          <w:szCs w:val="21"/>
          <w:highlight w:val="none"/>
          <w:u w:val="single"/>
          <w14:textFill>
            <w14:solidFill>
              <w14:schemeClr w14:val="tx1"/>
            </w14:solidFill>
          </w14:textFill>
        </w:rPr>
        <w:t xml:space="preserve">投标人须承诺本项目提供项目需求的人数量为最低要求，投标人可高于但不可低于此数量。（提供人员配备承诺函原件上传，格式自拟）</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4.3 </w:t>
      </w:r>
      <w:r>
        <w:rPr>
          <w:rFonts w:hint="eastAsia" w:ascii="宋体" w:hAnsi="宋体" w:cs="宋体"/>
          <w:color w:val="000000" w:themeColor="text1"/>
          <w:szCs w:val="21"/>
          <w:highlight w:val="none"/>
          <w14:textFill>
            <w14:solidFill>
              <w14:schemeClr w14:val="tx1"/>
            </w14:solidFill>
          </w14:textFill>
        </w:rPr>
        <w:t xml:space="preserve">中标供应商根据本项目的服务标准、要求及道路实际情况自行调配各岗位人员，登记造册后报采购人审查确认。</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4.4 </w:t>
      </w:r>
      <w:r>
        <w:rPr>
          <w:rFonts w:hint="eastAsia" w:ascii="宋体" w:hAnsi="宋体" w:cs="宋体"/>
          <w:color w:val="000000" w:themeColor="text1"/>
          <w:szCs w:val="21"/>
          <w:highlight w:val="none"/>
          <w14:textFill>
            <w14:solidFill>
              <w14:schemeClr w14:val="tx1"/>
            </w14:solidFill>
          </w14:textFill>
        </w:rPr>
        <w:t xml:space="preserve">为保证服务质量，中标供应商对所录用人员要严格审查，保证录用人员没有刑事犯罪记录，身体健康。录用人员不违反法律、法规相关规定，工作责任心强。</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4.5 </w:t>
      </w:r>
      <w:r>
        <w:rPr>
          <w:rFonts w:hint="eastAsia" w:ascii="宋体" w:hAnsi="宋体" w:cs="宋体"/>
          <w:color w:val="000000" w:themeColor="text1"/>
          <w:szCs w:val="21"/>
          <w:highlight w:val="none"/>
          <w14:textFill>
            <w14:solidFill>
              <w14:schemeClr w14:val="tx1"/>
            </w14:solidFill>
          </w14:textFill>
        </w:rPr>
        <w:t xml:space="preserve">中标供应商需设有应急队，在不影响日常的服务内容及任务的前提下，当有特殊任务或应急事件发生时能立即处理，并无条件服从采购人安排。</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4.6 </w:t>
      </w:r>
      <w:r>
        <w:rPr>
          <w:rFonts w:hint="eastAsia" w:ascii="宋体" w:hAnsi="宋体" w:cs="宋体"/>
          <w:color w:val="000000" w:themeColor="text1"/>
          <w:szCs w:val="21"/>
          <w:highlight w:val="none"/>
          <w14:textFill>
            <w14:solidFill>
              <w14:schemeClr w14:val="tx1"/>
            </w14:solidFill>
          </w14:textFill>
        </w:rPr>
        <w:t xml:space="preserve">操作环卫机械设备设施的作业人员需经正规培训并有相应的资格证，并按标准操作规范进行安全作业，禁止无证作业。</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4.7</w:t>
      </w:r>
      <w:r>
        <w:rPr>
          <w:rFonts w:hint="eastAsia" w:ascii="宋体" w:hAnsi="宋体" w:cs="宋体"/>
          <w:color w:val="000000" w:themeColor="text1"/>
          <w:szCs w:val="21"/>
          <w:highlight w:val="none"/>
          <w14:textFill>
            <w14:solidFill>
              <w14:schemeClr w14:val="tx1"/>
            </w14:solidFill>
          </w14:textFill>
        </w:rPr>
        <w:t xml:space="preserve">做好公司管理架构，管理人员安排，确保一级管一级，级级有人管，实名制登记并向采购人备案存档。</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4.8</w:t>
      </w:r>
      <w:r>
        <w:rPr>
          <w:rFonts w:hint="eastAsia" w:ascii="宋体" w:hAnsi="宋体" w:cs="宋体"/>
          <w:color w:val="000000" w:themeColor="text1"/>
          <w:szCs w:val="21"/>
          <w:highlight w:val="none"/>
          <w14:textFill>
            <w14:solidFill>
              <w14:schemeClr w14:val="tx1"/>
            </w14:solidFill>
          </w14:textFill>
        </w:rPr>
        <w:t xml:space="preserve">中标供应商为本项目服务人员配置安全作业的工具和劳动保护用品，并落实好安全生产的措施。中标供应商聘请的员工在工作时间需穿着统一的工作服，配置工号牌，工作服上要印上公司名称；服务期间，中标供应商聘用的人员如出现违规违纪行为以及员工伤亡等安全事故一概由中标供应商承担，与采购人无关。</w:t>
      </w:r>
      <w:r>
        <w:rPr>
          <w:rFonts w:ascii="宋体" w:hAnsi="宋体" w:cs="宋体"/>
          <w:color w:val="000000" w:themeColor="text1"/>
          <w:szCs w:val="21"/>
          <w:highlight w:val="none"/>
          <w14:textFill>
            <w14:solidFill>
              <w14:schemeClr w14:val="tx1"/>
            </w14:solidFill>
          </w14:textFill>
        </w:rPr>
        <w:t xml:space="preserve"> </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4.9 </w:t>
      </w:r>
      <w:r>
        <w:rPr>
          <w:rFonts w:hint="eastAsia" w:ascii="宋体" w:hAnsi="宋体" w:cs="宋体"/>
          <w:color w:val="000000" w:themeColor="text1"/>
          <w:szCs w:val="21"/>
          <w:highlight w:val="none"/>
          <w14:textFill>
            <w14:solidFill>
              <w14:schemeClr w14:val="tx1"/>
            </w14:solidFill>
          </w14:textFill>
        </w:rPr>
        <w:t xml:space="preserve">中标供应商需执行国家劳动法的相关规定。</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4.10</w:t>
      </w:r>
      <w:r>
        <w:rPr>
          <w:rFonts w:hint="eastAsia" w:ascii="宋体" w:hAnsi="宋体" w:cs="宋体"/>
          <w:color w:val="000000" w:themeColor="text1"/>
          <w:szCs w:val="21"/>
          <w:highlight w:val="none"/>
          <w14:textFill>
            <w14:solidFill>
              <w14:schemeClr w14:val="tx1"/>
            </w14:solidFill>
          </w14:textFill>
        </w:rPr>
        <w:t xml:space="preserve">环卫职工劳动保障要求</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以下为当前执行标准，如有调整，以社保和税务部门公布为准</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如下：</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中标供应商需严格执行《中华人民共和国民法典》、《中华人民共和国劳动法》以及省、市、区关于用工要求、职工劳动保护、劳动保障等相关规定，办理劳动用工备案手续。按有关规定及相关标准办理养老保险、医疗保险、失业保险、工伤保险、生育保险等社会保险手续，并及时足额缴纳社会保险费。</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i/>
          <w:iCs/>
          <w:color w:val="000000" w:themeColor="text1"/>
          <w:szCs w:val="21"/>
          <w:highlight w:val="none"/>
          <w:u w:val="single"/>
          <w14:textFill>
            <w14:solidFill>
              <w14:schemeClr w14:val="tx1"/>
            </w14:solidFill>
          </w14:textFill>
        </w:rPr>
        <w:t xml:space="preserve">中标供应商根据《中华人民共和国劳动法》规定聘用的环卫工人（所有人员在国家法定退休年龄以下），须依法签订劳动合同并依法支付相应报酬，其中基本工资</w:t>
      </w:r>
      <w:r>
        <w:rPr>
          <w:rFonts w:ascii="宋体" w:hAnsi="宋体" w:cs="宋体"/>
          <w:i/>
          <w:iCs/>
          <w:color w:val="000000" w:themeColor="text1"/>
          <w:szCs w:val="21"/>
          <w:highlight w:val="none"/>
          <w:u w:val="single"/>
          <w14:textFill>
            <w14:solidFill>
              <w14:schemeClr w14:val="tx1"/>
            </w14:solidFill>
          </w14:textFill>
        </w:rPr>
        <w:t xml:space="preserve">(</w:t>
      </w:r>
      <w:r>
        <w:rPr>
          <w:rFonts w:hint="eastAsia" w:ascii="宋体" w:hAnsi="宋体" w:cs="宋体"/>
          <w:i/>
          <w:iCs/>
          <w:color w:val="000000" w:themeColor="text1"/>
          <w:szCs w:val="21"/>
          <w:highlight w:val="none"/>
          <w:u w:val="single"/>
          <w14:textFill>
            <w14:solidFill>
              <w14:schemeClr w14:val="tx1"/>
            </w14:solidFill>
          </w14:textFill>
        </w:rPr>
        <w:t xml:space="preserve">不含加班工资</w:t>
      </w:r>
      <w:r>
        <w:rPr>
          <w:rFonts w:ascii="宋体" w:hAnsi="宋体" w:cs="宋体"/>
          <w:i/>
          <w:iCs/>
          <w:color w:val="000000" w:themeColor="text1"/>
          <w:szCs w:val="21"/>
          <w:highlight w:val="none"/>
          <w:u w:val="single"/>
          <w14:textFill>
            <w14:solidFill>
              <w14:schemeClr w14:val="tx1"/>
            </w14:solidFill>
          </w14:textFill>
        </w:rPr>
        <w:t xml:space="preserve">)</w:t>
      </w:r>
      <w:r>
        <w:rPr>
          <w:rFonts w:hint="eastAsia" w:ascii="宋体" w:hAnsi="宋体" w:cs="宋体"/>
          <w:i/>
          <w:iCs/>
          <w:color w:val="000000" w:themeColor="text1"/>
          <w:szCs w:val="21"/>
          <w:highlight w:val="none"/>
          <w:u w:val="single"/>
          <w14:textFill>
            <w14:solidFill>
              <w14:schemeClr w14:val="tx1"/>
            </w14:solidFill>
          </w14:textFill>
        </w:rPr>
        <w:t xml:space="preserve">不能低于当年扬州市区最低工资标准（提供人员工资承诺函原件上传，格式自拟）</w:t>
      </w:r>
      <w:r>
        <w:rPr>
          <w:rFonts w:hint="eastAsia" w:ascii="宋体" w:hAnsi="宋体" w:cs="宋体"/>
          <w:color w:val="000000" w:themeColor="text1"/>
          <w:szCs w:val="21"/>
          <w:highlight w:val="none"/>
          <w14:textFill>
            <w14:solidFill>
              <w14:schemeClr w14:val="tx1"/>
            </w14:solidFill>
          </w14:textFill>
        </w:rPr>
        <w:t xml:space="preserve">不得拖欠环卫工人工资</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含加班工资</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按规定为环卫工人缴交各种社会保险，同时为环卫工人购买商业意外保险，具体的缴存比例和执行标准按国家有关部门和当地政府有关规定执行。中标供应商每月需统一发放工人工资和缴交各种社会保险，并将发放登记表抄送采购人备案。</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）中标供应商需依据《中华人民共和国劳动法》保障环卫工人正常休息时间，确需延长劳动时间的，需当按规定发放加班工资、节假日加班工资。</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中标供应商需按照《关于做好高温津贴支付有关工作的通知》和扬州市、江都区有关部门的要求，按规定向环卫工人发放高温津贴及相关节日慰问金等。中标供应商与环卫工人解除劳动合同的，依据《中华人民共和国劳动法》规定向环卫工人支付经济补偿金。环卫工人工伤、工亡的，中标供应商需根据有关规定支付相关费用。</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4.11 </w:t>
      </w:r>
      <w:r>
        <w:rPr>
          <w:rFonts w:hint="eastAsia" w:ascii="宋体" w:hAnsi="宋体" w:cs="宋体"/>
          <w:color w:val="000000" w:themeColor="text1"/>
          <w:szCs w:val="21"/>
          <w:highlight w:val="none"/>
          <w14:textFill>
            <w14:solidFill>
              <w14:schemeClr w14:val="tx1"/>
            </w14:solidFill>
          </w14:textFill>
        </w:rPr>
        <w:t xml:space="preserve">中标供应商需执行《中华人民共和国劳动法》有关劳动保障的其他规定。包括但不局限于下</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4.12 </w:t>
      </w:r>
      <w:r>
        <w:rPr>
          <w:rFonts w:hint="eastAsia" w:ascii="宋体" w:hAnsi="宋体" w:cs="宋体"/>
          <w:color w:val="000000" w:themeColor="text1"/>
          <w:szCs w:val="21"/>
          <w:highlight w:val="none"/>
          <w14:textFill>
            <w14:solidFill>
              <w14:schemeClr w14:val="tx1"/>
            </w14:solidFill>
          </w14:textFill>
        </w:rPr>
        <w:t xml:space="preserve">如遇到政策性规定的最低工资、高温津贴等提高，由中标供应商负责调整发放，采购人不负责增资经费，请中标供应商充分考虑相关风险。</w:t>
      </w:r>
      <w:r/>
    </w:p>
    <w:p>
      <w:pPr>
        <w:ind w:firstLine="420"/>
        <w:spacing w:line="360" w:lineRule="auto"/>
        <w:rPr>
          <w:rFonts w:ascii="宋体" w:cs="宋体"/>
          <w:color w:val="000000" w:themeColor="text1"/>
          <w:szCs w:val="21"/>
          <w:highlight w:val="none"/>
          <w14:textFill>
            <w14:solidFill>
              <w14:schemeClr w14:val="tx1"/>
            </w14:solidFill>
          </w14:textFill>
        </w:rPr>
        <w:outlineLvl w:val="1"/>
      </w:pPr>
      <w:r>
        <w:rPr>
          <w:rFonts w:ascii="宋体" w:hAnsi="宋体" w:cs="宋体"/>
          <w:color w:val="000000" w:themeColor="text1"/>
          <w:szCs w:val="21"/>
          <w:highlight w:val="none"/>
          <w14:textFill>
            <w14:solidFill>
              <w14:schemeClr w14:val="tx1"/>
            </w14:solidFill>
          </w14:textFill>
        </w:rPr>
        <w:t xml:space="preserve">4.13</w:t>
      </w:r>
      <w:r>
        <w:rPr>
          <w:rFonts w:hint="eastAsia" w:ascii="宋体" w:hAnsi="宋体" w:cs="宋体"/>
          <w:color w:val="000000" w:themeColor="text1"/>
          <w:szCs w:val="21"/>
          <w:highlight w:val="none"/>
          <w14:textFill>
            <w14:solidFill>
              <w14:schemeClr w14:val="tx1"/>
            </w14:solidFill>
          </w14:textFill>
        </w:rPr>
        <w:t xml:space="preserve">中标供应商员工及属下所有雇佣人员不得在服务范围内向任何单位、企业、个人收取任何卫生费用及垃圾代运费，一经查实，中标供应商需承担一切经济和法律责任。</w:t>
      </w:r>
      <w:r/>
    </w:p>
    <w:p>
      <w:pPr>
        <w:ind w:firstLine="422"/>
        <w:spacing w:line="360" w:lineRule="auto"/>
        <w:rPr>
          <w:rFonts w:asci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五、作业设备要求：</w:t>
      </w:r>
      <w:r/>
    </w:p>
    <w:p>
      <w:pPr>
        <w:ind w:firstLine="420"/>
        <w:spacing w:line="360" w:lineRule="auto"/>
        <w:rPr>
          <w:rFonts w:ascii="宋体" w:cs="宋体"/>
          <w:color w:val="000000" w:themeColor="text1"/>
          <w:szCs w:val="21"/>
          <w:highlight w:val="none"/>
          <w14:textFill>
            <w14:solidFill>
              <w14:schemeClr w14:val="tx1"/>
            </w14:solidFill>
          </w14:textFill>
        </w:rPr>
        <w:outlineLvl w:val="1"/>
      </w:pPr>
      <w:r>
        <w:rPr>
          <w:rFonts w:ascii="宋体" w:hAnsi="宋体" w:cs="宋体"/>
          <w:color w:val="000000" w:themeColor="text1"/>
          <w:szCs w:val="21"/>
          <w:highlight w:val="none"/>
          <w14:textFill>
            <w14:solidFill>
              <w14:schemeClr w14:val="tx1"/>
            </w14:solidFill>
          </w14:textFill>
        </w:rPr>
        <w:t xml:space="preserve">5.1</w:t>
      </w:r>
      <w:r>
        <w:rPr>
          <w:rFonts w:hint="eastAsia" w:ascii="宋体" w:hAnsi="宋体" w:cs="宋体"/>
          <w:color w:val="000000" w:themeColor="text1"/>
          <w:szCs w:val="21"/>
          <w:highlight w:val="none"/>
          <w14:textFill>
            <w14:solidFill>
              <w14:schemeClr w14:val="tx1"/>
            </w14:solidFill>
          </w14:textFill>
        </w:rPr>
        <w:t xml:space="preserve">本分包作业设备具体要求按前款“包</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车辆最低配置（辆、台）</w:t>
      </w:r>
      <w:r>
        <w:rPr>
          <w:rFonts w:hint="eastAsia"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表格执行。</w:t>
      </w:r>
      <w:r/>
    </w:p>
    <w:p>
      <w:pPr>
        <w:ind w:firstLine="420"/>
        <w:spacing w:line="360" w:lineRule="auto"/>
        <w:rPr>
          <w:rFonts w:ascii="宋体" w:cs="宋体"/>
          <w:i/>
          <w:iCs/>
          <w:color w:val="000000" w:themeColor="text1"/>
          <w:szCs w:val="21"/>
          <w:highlight w:val="none"/>
          <w14:textFill>
            <w14:solidFill>
              <w14:schemeClr w14:val="tx1"/>
            </w14:solidFill>
          </w14:textFill>
        </w:rPr>
        <w:outlineLvl w:val="1"/>
      </w:pPr>
      <w:r>
        <w:rPr>
          <w:rFonts w:ascii="宋体" w:hAnsi="宋体" w:cs="宋体"/>
          <w:i/>
          <w:iCs/>
          <w:color w:val="000000" w:themeColor="text1"/>
          <w:szCs w:val="21"/>
          <w:highlight w:val="none"/>
          <w:u w:val="single"/>
          <w14:textFill>
            <w14:solidFill>
              <w14:schemeClr w14:val="tx1"/>
            </w14:solidFill>
          </w14:textFill>
        </w:rPr>
        <w:t xml:space="preserve">5.2</w:t>
      </w:r>
      <w:r>
        <w:rPr>
          <w:rFonts w:hint="eastAsia" w:ascii="宋体" w:hAnsi="宋体" w:cs="宋体"/>
          <w:i/>
          <w:iCs/>
          <w:color w:val="000000" w:themeColor="text1"/>
          <w:szCs w:val="21"/>
          <w:highlight w:val="none"/>
          <w:u w:val="single"/>
          <w14:textFill>
            <w14:solidFill>
              <w14:schemeClr w14:val="tx1"/>
            </w14:solidFill>
          </w14:textFill>
        </w:rPr>
        <w:t xml:space="preserve">投</w:t>
      </w:r>
      <w:r>
        <w:rPr>
          <w:rFonts w:hint="eastAsia" w:ascii="宋体" w:hAnsi="宋体" w:cs="宋体"/>
          <w:i/>
          <w:color w:val="000000" w:themeColor="text1"/>
          <w:szCs w:val="21"/>
          <w:highlight w:val="none"/>
          <w:u w:val="single"/>
          <w14:textFill>
            <w14:solidFill>
              <w14:schemeClr w14:val="tx1"/>
            </w14:solidFill>
          </w14:textFill>
        </w:rPr>
        <w:t xml:space="preserve">标人承诺提供上述基本车辆及设备的数量及配置不低于招标文件规定的配置。</w:t>
      </w:r>
      <w:r>
        <w:rPr>
          <w:rFonts w:hint="eastAsia" w:ascii="宋体" w:hAnsi="宋体" w:cs="宋体"/>
          <w:i/>
          <w:iCs/>
          <w:color w:val="000000" w:themeColor="text1"/>
          <w:szCs w:val="21"/>
          <w:highlight w:val="none"/>
          <w:u w:val="single"/>
          <w14:textFill>
            <w14:solidFill>
              <w14:schemeClr w14:val="tx1"/>
            </w14:solidFill>
          </w14:textFill>
        </w:rPr>
        <w:t xml:space="preserve">（提供车辆配置承诺函原件上传，格式自拟）</w:t>
      </w:r>
      <w:r>
        <w:rPr>
          <w:rFonts w:hint="eastAsia" w:ascii="宋体" w:hAnsi="宋体" w:cs="宋体"/>
          <w:iCs/>
          <w:color w:val="000000" w:themeColor="text1"/>
          <w:szCs w:val="21"/>
          <w:highlight w:val="none"/>
          <w14:textFill>
            <w14:solidFill>
              <w14:schemeClr w14:val="tx1"/>
            </w14:solidFill>
          </w14:textFill>
        </w:rPr>
        <w:t xml:space="preserve">根据江苏省住房和城乡建设厅、江苏省发展和改革委员会、江苏省工业和信息化厅印发的《江苏省住房和城乡建设厅等部门关于环卫领域车辆（作业机具）绿色化智能化更新的通知》苏建城管【</w:t>
      </w:r>
      <w:r>
        <w:rPr>
          <w:rFonts w:ascii="宋体" w:hAnsi="宋体" w:cs="宋体"/>
          <w:iCs/>
          <w:color w:val="000000" w:themeColor="text1"/>
          <w:szCs w:val="21"/>
          <w:highlight w:val="none"/>
          <w14:textFill>
            <w14:solidFill>
              <w14:schemeClr w14:val="tx1"/>
            </w14:solidFill>
          </w14:textFill>
        </w:rPr>
        <w:t xml:space="preserve">2025</w:t>
      </w:r>
      <w:r>
        <w:rPr>
          <w:rFonts w:hint="eastAsia" w:ascii="宋体" w:hAnsi="宋体" w:cs="宋体"/>
          <w:iCs/>
          <w:color w:val="000000" w:themeColor="text1"/>
          <w:szCs w:val="21"/>
          <w:highlight w:val="none"/>
          <w14:textFill>
            <w14:solidFill>
              <w14:schemeClr w14:val="tx1"/>
            </w14:solidFill>
          </w14:textFill>
        </w:rPr>
        <w:t xml:space="preserve">】</w:t>
      </w:r>
      <w:r>
        <w:rPr>
          <w:rFonts w:ascii="宋体" w:hAnsi="宋体" w:cs="宋体"/>
          <w:iCs/>
          <w:color w:val="000000" w:themeColor="text1"/>
          <w:szCs w:val="21"/>
          <w:highlight w:val="none"/>
          <w14:textFill>
            <w14:solidFill>
              <w14:schemeClr w14:val="tx1"/>
            </w14:solidFill>
          </w14:textFill>
        </w:rPr>
        <w:t xml:space="preserve">3</w:t>
      </w:r>
      <w:r>
        <w:rPr>
          <w:rFonts w:hint="eastAsia" w:ascii="宋体" w:hAnsi="宋体" w:cs="宋体"/>
          <w:iCs/>
          <w:color w:val="000000" w:themeColor="text1"/>
          <w:szCs w:val="21"/>
          <w:highlight w:val="none"/>
          <w14:textFill>
            <w14:solidFill>
              <w14:schemeClr w14:val="tx1"/>
            </w14:solidFill>
          </w14:textFill>
        </w:rPr>
        <w:t xml:space="preserve">号文件：在新增或更新时鼓励采用新能源汽车（含纯电动汽车、插电式混合动力汽车或燃料电池汽车），每年新增或更新车辆中</w:t>
      </w:r>
      <w:r>
        <w:rPr>
          <w:rFonts w:ascii="宋体" w:hAnsi="宋体" w:cs="宋体"/>
          <w:iCs/>
          <w:color w:val="000000" w:themeColor="text1"/>
          <w:szCs w:val="21"/>
          <w:highlight w:val="none"/>
          <w14:textFill>
            <w14:solidFill>
              <w14:schemeClr w14:val="tx1"/>
            </w14:solidFill>
          </w14:textFill>
        </w:rPr>
        <w:t xml:space="preserve">15%</w:t>
      </w:r>
      <w:r>
        <w:rPr>
          <w:rFonts w:hint="eastAsia" w:ascii="宋体" w:hAnsi="宋体" w:cs="宋体"/>
          <w:iCs/>
          <w:color w:val="000000" w:themeColor="text1"/>
          <w:szCs w:val="21"/>
          <w:highlight w:val="none"/>
          <w14:textFill>
            <w14:solidFill>
              <w14:schemeClr w14:val="tx1"/>
            </w14:solidFill>
          </w14:textFill>
        </w:rPr>
        <w:t xml:space="preserve">以上使用新能源车，其中新增或更新的轻型车中</w:t>
      </w:r>
      <w:r>
        <w:rPr>
          <w:rFonts w:ascii="宋体" w:hAnsi="宋体" w:cs="宋体"/>
          <w:iCs/>
          <w:color w:val="000000" w:themeColor="text1"/>
          <w:szCs w:val="21"/>
          <w:highlight w:val="none"/>
          <w14:textFill>
            <w14:solidFill>
              <w14:schemeClr w14:val="tx1"/>
            </w14:solidFill>
          </w14:textFill>
        </w:rPr>
        <w:t xml:space="preserve">80%</w:t>
      </w:r>
      <w:r>
        <w:rPr>
          <w:rFonts w:hint="eastAsia" w:ascii="宋体" w:hAnsi="宋体" w:cs="宋体"/>
          <w:iCs/>
          <w:color w:val="000000" w:themeColor="text1"/>
          <w:szCs w:val="21"/>
          <w:highlight w:val="none"/>
          <w14:textFill>
            <w14:solidFill>
              <w14:schemeClr w14:val="tx1"/>
            </w14:solidFill>
          </w14:textFill>
        </w:rPr>
        <w:t xml:space="preserve">以上使用新能源车。根据扬州市人民政府办公室印发《扬州市推动公共领域车辆电动化水平提升工作方案（征求意见稿）》，环卫用车按照市级统筹、区县协同的原则，分批次、分区域、分时段进行市政环卫车辆电动化替代，重点提高洒水车、清扫车、垃圾运输车等车辆的电动化比例，新增和更换车</w:t>
      </w:r>
      <w:r>
        <w:rPr>
          <w:rFonts w:ascii="宋体" w:hAnsi="宋体" w:cs="宋体"/>
          <w:iCs/>
          <w:color w:val="000000" w:themeColor="text1"/>
          <w:szCs w:val="21"/>
          <w:highlight w:val="non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辆的电动化比例不低于</w:t>
      </w:r>
      <w:r>
        <w:rPr>
          <w:rFonts w:ascii="宋体" w:hAnsi="宋体" w:cs="宋体"/>
          <w:iCs/>
          <w:color w:val="000000" w:themeColor="text1"/>
          <w:szCs w:val="21"/>
          <w:highlight w:val="none"/>
          <w14:textFill>
            <w14:solidFill>
              <w14:schemeClr w14:val="tx1"/>
            </w14:solidFill>
          </w14:textFill>
        </w:rPr>
        <w:t xml:space="preserve">80%</w:t>
      </w:r>
      <w:r>
        <w:rPr>
          <w:rFonts w:hint="eastAsia" w:ascii="宋体" w:hAnsi="宋体" w:cs="宋体"/>
          <w:iCs/>
          <w:color w:val="000000" w:themeColor="text1"/>
          <w:szCs w:val="21"/>
          <w:highlight w:val="none"/>
          <w14:textFill>
            <w14:solidFill>
              <w14:schemeClr w14:val="tx1"/>
            </w14:solidFill>
          </w14:textFill>
        </w:rPr>
        <w:t xml:space="preserve">。鼓励建设一批新能源环卫车辆统一停放、充电、维修专用服务站点，降低企业运营成本。</w:t>
      </w:r>
      <w:r/>
    </w:p>
    <w:p>
      <w:pPr>
        <w:ind w:firstLine="420"/>
        <w:jc w:val="left"/>
        <w:spacing w:line="360" w:lineRule="auto"/>
        <w:rPr>
          <w:rFonts w:asci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5.3</w:t>
      </w:r>
      <w:r>
        <w:rPr>
          <w:rFonts w:hint="eastAsia" w:ascii="宋体" w:hAnsi="宋体" w:cs="宋体"/>
          <w:b/>
          <w:bCs/>
          <w:color w:val="000000" w:themeColor="text1"/>
          <w:szCs w:val="21"/>
          <w:highlight w:val="none"/>
          <w14:textFill>
            <w14:solidFill>
              <w14:schemeClr w14:val="tx1"/>
            </w14:solidFill>
          </w14:textFill>
        </w:rPr>
        <w:t xml:space="preserve">所需设备参数</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（一）、小型高压冲洗车</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1</w:t>
      </w:r>
      <w:r>
        <w:rPr>
          <w:rFonts w:hint="eastAsia" w:cs="宋体"/>
          <w:color w:val="000000" w:themeColor="text1"/>
          <w:szCs w:val="21"/>
          <w:highlight w:val="none"/>
          <w14:textFill>
            <w14:solidFill>
              <w14:schemeClr w14:val="tx1"/>
            </w14:solidFill>
          </w14:textFill>
        </w:rPr>
        <w:t xml:space="preserve">）额定载质量：≥</w:t>
      </w:r>
      <w:r>
        <w:rPr>
          <w:rFonts w:cs="宋体"/>
          <w:color w:val="000000" w:themeColor="text1"/>
          <w:szCs w:val="21"/>
          <w:highlight w:val="none"/>
          <w14:textFill>
            <w14:solidFill>
              <w14:schemeClr w14:val="tx1"/>
            </w14:solidFill>
          </w14:textFill>
        </w:rPr>
        <w:t xml:space="preserve">1000kg</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）水箱容积：≥</w:t>
      </w:r>
      <w:r>
        <w:rPr>
          <w:rFonts w:cs="宋体"/>
          <w:color w:val="000000" w:themeColor="text1"/>
          <w:szCs w:val="21"/>
          <w:highlight w:val="none"/>
          <w14:textFill>
            <w14:solidFill>
              <w14:schemeClr w14:val="tx1"/>
            </w14:solidFill>
          </w14:textFill>
        </w:rPr>
        <w:t xml:space="preserve">950L</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）外形尺寸</w:t>
      </w:r>
      <w:r>
        <w:rPr>
          <w:rFonts w:cs="宋体"/>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长≥</w:t>
      </w:r>
      <w:r>
        <w:rPr>
          <w:rFonts w:cs="宋体"/>
          <w:color w:val="000000" w:themeColor="text1"/>
          <w:szCs w:val="21"/>
          <w:highlight w:val="none"/>
          <w14:textFill>
            <w14:solidFill>
              <w14:schemeClr w14:val="tx1"/>
            </w14:solidFill>
          </w14:textFill>
        </w:rPr>
        <w:t xml:space="preserve">3000mm</w:t>
      </w:r>
      <w:r>
        <w:rPr>
          <w:rFonts w:hint="eastAsia" w:cs="宋体"/>
          <w:color w:val="000000" w:themeColor="text1"/>
          <w:szCs w:val="21"/>
          <w:highlight w:val="none"/>
          <w14:textFill>
            <w14:solidFill>
              <w14:schemeClr w14:val="tx1"/>
            </w14:solidFill>
          </w14:textFill>
        </w:rPr>
        <w:t xml:space="preserve">，宽≥</w:t>
      </w:r>
      <w:r>
        <w:rPr>
          <w:rFonts w:cs="宋体"/>
          <w:color w:val="000000" w:themeColor="text1"/>
          <w:szCs w:val="21"/>
          <w:highlight w:val="none"/>
          <w14:textFill>
            <w14:solidFill>
              <w14:schemeClr w14:val="tx1"/>
            </w14:solidFill>
          </w14:textFill>
        </w:rPr>
        <w:t xml:space="preserve">1000mm</w:t>
      </w:r>
      <w:r>
        <w:rPr>
          <w:rFonts w:hint="eastAsia" w:cs="宋体"/>
          <w:color w:val="000000" w:themeColor="text1"/>
          <w:szCs w:val="21"/>
          <w:highlight w:val="none"/>
          <w14:textFill>
            <w14:solidFill>
              <w14:schemeClr w14:val="tx1"/>
            </w14:solidFill>
          </w14:textFill>
        </w:rPr>
        <w:t xml:space="preserve">，高≥</w:t>
      </w:r>
      <w:r>
        <w:rPr>
          <w:rFonts w:cs="宋体"/>
          <w:color w:val="000000" w:themeColor="text1"/>
          <w:szCs w:val="21"/>
          <w:highlight w:val="none"/>
          <w14:textFill>
            <w14:solidFill>
              <w14:schemeClr w14:val="tx1"/>
            </w14:solidFill>
          </w14:textFill>
        </w:rPr>
        <w:t xml:space="preserve">1500mm</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4</w:t>
      </w:r>
      <w:r>
        <w:rPr>
          <w:rFonts w:hint="eastAsia" w:cs="宋体"/>
          <w:color w:val="000000" w:themeColor="text1"/>
          <w:szCs w:val="21"/>
          <w:highlight w:val="none"/>
          <w14:textFill>
            <w14:solidFill>
              <w14:schemeClr w14:val="tx1"/>
            </w14:solidFill>
          </w14:textFill>
        </w:rPr>
        <w:t xml:space="preserve">）最高行驶速度：≤</w:t>
      </w:r>
      <w:r>
        <w:rPr>
          <w:rFonts w:cs="宋体"/>
          <w:color w:val="000000" w:themeColor="text1"/>
          <w:szCs w:val="21"/>
          <w:highlight w:val="none"/>
          <w14:textFill>
            <w14:solidFill>
              <w14:schemeClr w14:val="tx1"/>
            </w14:solidFill>
          </w14:textFill>
        </w:rPr>
        <w:t xml:space="preserve">30km/h</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5</w:t>
      </w:r>
      <w:r>
        <w:rPr>
          <w:rFonts w:hint="eastAsia" w:cs="宋体"/>
          <w:color w:val="000000" w:themeColor="text1"/>
          <w:szCs w:val="21"/>
          <w:highlight w:val="none"/>
          <w14:textFill>
            <w14:solidFill>
              <w14:schemeClr w14:val="tx1"/>
            </w14:solidFill>
          </w14:textFill>
        </w:rPr>
        <w:t xml:space="preserve">）最小转弯半径：≤</w:t>
      </w:r>
      <w:r>
        <w:rPr>
          <w:rFonts w:cs="宋体"/>
          <w:color w:val="000000" w:themeColor="text1"/>
          <w:szCs w:val="21"/>
          <w:highlight w:val="none"/>
          <w14:textFill>
            <w14:solidFill>
              <w14:schemeClr w14:val="tx1"/>
            </w14:solidFill>
          </w14:textFill>
        </w:rPr>
        <w:t xml:space="preserve">5m</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6</w:t>
      </w:r>
      <w:r>
        <w:rPr>
          <w:rFonts w:hint="eastAsia" w:cs="宋体"/>
          <w:color w:val="000000" w:themeColor="text1"/>
          <w:szCs w:val="21"/>
          <w:highlight w:val="none"/>
          <w14:textFill>
            <w14:solidFill>
              <w14:schemeClr w14:val="tx1"/>
            </w14:solidFill>
          </w14:textFill>
        </w:rPr>
        <w:t xml:space="preserve">）最大爬坡度</w:t>
      </w:r>
      <w:r>
        <w:rPr>
          <w:rFonts w:cs="宋体"/>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空载</w:t>
      </w:r>
      <w:r>
        <w:rPr>
          <w:rFonts w:cs="宋体"/>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&gt;15%</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7</w:t>
      </w:r>
      <w:r>
        <w:rPr>
          <w:rFonts w:hint="eastAsia" w:cs="宋体"/>
          <w:color w:val="000000" w:themeColor="text1"/>
          <w:szCs w:val="21"/>
          <w:highlight w:val="none"/>
          <w14:textFill>
            <w14:solidFill>
              <w14:schemeClr w14:val="tx1"/>
            </w14:solidFill>
          </w14:textFill>
        </w:rPr>
        <w:t xml:space="preserve">）最大制动距离：≤</w:t>
      </w:r>
      <w:r>
        <w:rPr>
          <w:rFonts w:cs="宋体"/>
          <w:color w:val="000000" w:themeColor="text1"/>
          <w:szCs w:val="21"/>
          <w:highlight w:val="none"/>
          <w14:textFill>
            <w14:solidFill>
              <w14:schemeClr w14:val="tx1"/>
            </w14:solidFill>
          </w14:textFill>
        </w:rPr>
        <w:t xml:space="preserve">4m</w:t>
      </w:r>
      <w:r/>
    </w:p>
    <w:p>
      <w:pPr>
        <w:pStyle w:val="876"/>
        <w:ind w:firstLine="0"/>
        <w:rPr>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洗扫车（</w:t>
      </w:r>
      <w:r>
        <w:rPr>
          <w:color w:val="000000" w:themeColor="text1"/>
          <w:highlight w:val="none"/>
          <w14:textFill>
            <w14:solidFill>
              <w14:schemeClr w14:val="tx1"/>
            </w14:solidFill>
          </w14:textFill>
        </w:rPr>
        <w:t xml:space="preserve">18T</w:t>
      </w:r>
      <w:r>
        <w:rPr>
          <w:rFonts w:hint="eastAsia"/>
          <w:color w:val="000000" w:themeColor="text1"/>
          <w:highlight w:val="none"/>
          <w14:textFill>
            <w14:solidFill>
              <w14:schemeClr w14:val="tx1"/>
            </w14:solidFill>
          </w14:textFill>
        </w:rPr>
        <w:t xml:space="preserve">）</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）总质量</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18000kg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）整备质量</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11000kg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）外形尺寸：长≥</w:t>
      </w:r>
      <w:r>
        <w:rPr>
          <w:color w:val="000000" w:themeColor="text1"/>
          <w:highlight w:val="none"/>
          <w14:textFill>
            <w14:solidFill>
              <w14:schemeClr w14:val="tx1"/>
            </w14:solidFill>
          </w14:textFill>
        </w:rPr>
        <w:t xml:space="preserve">8800mm</w:t>
      </w:r>
      <w:r>
        <w:rPr>
          <w:rFonts w:hint="eastAsia"/>
          <w:color w:val="000000" w:themeColor="text1"/>
          <w:highlight w:val="none"/>
          <w14:textFill>
            <w14:solidFill>
              <w14:schemeClr w14:val="tx1"/>
            </w14:solidFill>
          </w14:textFill>
        </w:rPr>
        <w:t xml:space="preserve">，宽≥</w:t>
      </w:r>
      <w:r>
        <w:rPr>
          <w:color w:val="000000" w:themeColor="text1"/>
          <w:highlight w:val="none"/>
          <w14:textFill>
            <w14:solidFill>
              <w14:schemeClr w14:val="tx1"/>
            </w14:solidFill>
          </w14:textFill>
        </w:rPr>
        <w:t xml:space="preserve">2400mm</w:t>
      </w:r>
      <w:r>
        <w:rPr>
          <w:rFonts w:hint="eastAsia"/>
          <w:color w:val="000000" w:themeColor="text1"/>
          <w:highlight w:val="none"/>
          <w14:textFill>
            <w14:solidFill>
              <w14:schemeClr w14:val="tx1"/>
            </w14:solidFill>
          </w14:textFill>
        </w:rPr>
        <w:t xml:space="preserve">，高≥</w:t>
      </w:r>
      <w:r>
        <w:rPr>
          <w:color w:val="000000" w:themeColor="text1"/>
          <w:highlight w:val="none"/>
          <w14:textFill>
            <w14:solidFill>
              <w14:schemeClr w14:val="tx1"/>
            </w14:solidFill>
          </w14:textFill>
        </w:rPr>
        <w:t xml:space="preserve">3000mm</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）垃圾箱容积</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6m</w:t>
      </w:r>
      <w:r>
        <w:rPr>
          <w:rFonts w:hint="eastAsia"/>
          <w:color w:val="000000" w:themeColor="text1"/>
          <w:highlight w:val="none"/>
          <w14:textFill>
            <w14:solidFill>
              <w14:schemeClr w14:val="tx1"/>
            </w14:solidFill>
          </w14:textFill>
        </w:rPr>
        <w:t xml:space="preserve">³</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）清水箱容积</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8mm</w:t>
      </w:r>
      <w:r>
        <w:rPr>
          <w:rFonts w:hint="eastAsia"/>
          <w:color w:val="000000" w:themeColor="text1"/>
          <w:highlight w:val="none"/>
          <w14:textFill>
            <w14:solidFill>
              <w14:schemeClr w14:val="tx1"/>
            </w14:solidFill>
          </w14:textFill>
        </w:rPr>
        <w:t xml:space="preserve">³</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）高压水泵额定压力</w:t>
      </w:r>
      <w:r>
        <w:rPr>
          <w:rFonts w:hint="eastAsia" w:cs="宋体"/>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&gt;10MPa</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（三）洒水车（</w:t>
      </w:r>
      <w:r>
        <w:rPr>
          <w:rFonts w:cs="宋体"/>
          <w:color w:val="000000" w:themeColor="text1"/>
          <w:szCs w:val="21"/>
          <w:highlight w:val="none"/>
          <w14:textFill>
            <w14:solidFill>
              <w14:schemeClr w14:val="tx1"/>
            </w14:solidFill>
          </w14:textFill>
        </w:rPr>
        <w:t xml:space="preserve">18T</w:t>
      </w:r>
      <w:r>
        <w:rPr>
          <w:rFonts w:hint="eastAsia" w:cs="宋体"/>
          <w:color w:val="000000" w:themeColor="text1"/>
          <w:szCs w:val="21"/>
          <w:highlight w:val="none"/>
          <w14:textFill>
            <w14:solidFill>
              <w14:schemeClr w14:val="tx1"/>
            </w14:solidFill>
          </w14:textFill>
        </w:rPr>
        <w:t xml:space="preserve">）</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）总质量</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18000kg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）整备质量</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9000kg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）外形尺寸：长≥</w:t>
      </w:r>
      <w:r>
        <w:rPr>
          <w:color w:val="000000" w:themeColor="text1"/>
          <w:highlight w:val="none"/>
          <w14:textFill>
            <w14:solidFill>
              <w14:schemeClr w14:val="tx1"/>
            </w14:solidFill>
          </w14:textFill>
        </w:rPr>
        <w:t xml:space="preserve">8200mm</w:t>
      </w:r>
      <w:r>
        <w:rPr>
          <w:rFonts w:hint="eastAsia"/>
          <w:color w:val="000000" w:themeColor="text1"/>
          <w:highlight w:val="none"/>
          <w14:textFill>
            <w14:solidFill>
              <w14:schemeClr w14:val="tx1"/>
            </w14:solidFill>
          </w14:textFill>
        </w:rPr>
        <w:t xml:space="preserve">，宽≥</w:t>
      </w:r>
      <w:r>
        <w:rPr>
          <w:color w:val="000000" w:themeColor="text1"/>
          <w:highlight w:val="none"/>
          <w14:textFill>
            <w14:solidFill>
              <w14:schemeClr w14:val="tx1"/>
            </w14:solidFill>
          </w14:textFill>
        </w:rPr>
        <w:t xml:space="preserve">2400mm</w:t>
      </w:r>
      <w:r>
        <w:rPr>
          <w:rFonts w:hint="eastAsia"/>
          <w:color w:val="000000" w:themeColor="text1"/>
          <w:highlight w:val="none"/>
          <w14:textFill>
            <w14:solidFill>
              <w14:schemeClr w14:val="tx1"/>
            </w14:solidFill>
          </w14:textFill>
        </w:rPr>
        <w:t xml:space="preserve">，高≥</w:t>
      </w:r>
      <w:r>
        <w:rPr>
          <w:color w:val="000000" w:themeColor="text1"/>
          <w:highlight w:val="none"/>
          <w14:textFill>
            <w14:solidFill>
              <w14:schemeClr w14:val="tx1"/>
            </w14:solidFill>
          </w14:textFill>
        </w:rPr>
        <w:t xml:space="preserve">2900mm</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）水罐容积：≥</w:t>
      </w:r>
      <w:r>
        <w:rPr>
          <w:color w:val="000000" w:themeColor="text1"/>
          <w:highlight w:val="none"/>
          <w14:textFill>
            <w14:solidFill>
              <w14:schemeClr w14:val="tx1"/>
            </w14:solidFill>
          </w14:textFill>
        </w:rPr>
        <w:t xml:space="preserve">9m</w:t>
      </w:r>
      <w:r>
        <w:rPr>
          <w:rFonts w:hint="eastAsia"/>
          <w:color w:val="000000" w:themeColor="text1"/>
          <w:highlight w:val="none"/>
          <w14:textFill>
            <w14:solidFill>
              <w14:schemeClr w14:val="tx1"/>
            </w14:solidFill>
          </w14:textFill>
        </w:rPr>
        <w:t xml:space="preserve">³</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）冲洗宽度：≥</w:t>
      </w:r>
      <w:r>
        <w:rPr>
          <w:color w:val="000000" w:themeColor="text1"/>
          <w:highlight w:val="none"/>
          <w14:textFill>
            <w14:solidFill>
              <w14:schemeClr w14:val="tx1"/>
            </w14:solidFill>
          </w14:textFill>
        </w:rPr>
        <w:t xml:space="preserve">24</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（四）</w:t>
      </w:r>
      <w:r>
        <w:rPr>
          <w:rFonts w:cs="宋体"/>
          <w:color w:val="000000" w:themeColor="text1"/>
          <w:szCs w:val="21"/>
          <w:highlight w:val="none"/>
          <w14:textFill>
            <w14:solidFill>
              <w14:schemeClr w14:val="tx1"/>
            </w14:solidFill>
          </w14:textFill>
        </w:rPr>
        <w:t xml:space="preserve">7m</w:t>
      </w:r>
      <w:r>
        <w:rPr>
          <w:rFonts w:hint="eastAsia" w:cs="宋体"/>
          <w:color w:val="000000" w:themeColor="text1"/>
          <w:szCs w:val="21"/>
          <w:highlight w:val="none"/>
          <w14:textFill>
            <w14:solidFill>
              <w14:schemeClr w14:val="tx1"/>
            </w14:solidFill>
          </w14:textFill>
        </w:rPr>
        <w:t xml:space="preserve">³全密闭收集车</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）整备质量</w:t>
      </w:r>
      <w:r>
        <w:rPr>
          <w:rFonts w:hint="eastAsia" w:cs="宋体"/>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5000kg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）箱体有效容积</w:t>
      </w:r>
      <w:r>
        <w:rPr>
          <w:rFonts w:hint="eastAsia" w:cs="宋体"/>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7m</w:t>
      </w:r>
      <w:r>
        <w:rPr>
          <w:rFonts w:hint="eastAsia"/>
          <w:color w:val="000000" w:themeColor="text1"/>
          <w:highlight w:val="none"/>
          <w14:textFill>
            <w14:solidFill>
              <w14:schemeClr w14:val="tx1"/>
            </w14:solidFill>
          </w14:textFill>
        </w:rPr>
        <w:t xml:space="preserve">³</w:t>
      </w:r>
      <w:r/>
    </w:p>
    <w:p>
      <w:pPr>
        <w:pStyle w:val="876"/>
        <w:ind w:firstLine="0"/>
        <w:rPr>
          <w:rFonts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外形尺寸：长≥</w:t>
      </w:r>
      <w:r>
        <w:rPr>
          <w:rFonts w:cs="宋体"/>
          <w:color w:val="000000" w:themeColor="text1"/>
          <w:szCs w:val="21"/>
          <w:highlight w:val="none"/>
          <w14:textFill>
            <w14:solidFill>
              <w14:schemeClr w14:val="tx1"/>
            </w14:solidFill>
          </w14:textFill>
        </w:rPr>
        <w:t xml:space="preserve">6800mm</w:t>
      </w:r>
      <w:r>
        <w:rPr>
          <w:rFonts w:hint="eastAsia" w:cs="宋体"/>
          <w:color w:val="000000" w:themeColor="text1"/>
          <w:szCs w:val="21"/>
          <w:highlight w:val="none"/>
          <w14:textFill>
            <w14:solidFill>
              <w14:schemeClr w14:val="tx1"/>
            </w14:solidFill>
          </w14:textFill>
        </w:rPr>
        <w:t xml:space="preserve">×宽≥</w:t>
      </w:r>
      <w:r>
        <w:rPr>
          <w:rFonts w:cs="宋体"/>
          <w:color w:val="000000" w:themeColor="text1"/>
          <w:szCs w:val="21"/>
          <w:highlight w:val="none"/>
          <w14:textFill>
            <w14:solidFill>
              <w14:schemeClr w14:val="tx1"/>
            </w14:solidFill>
          </w14:textFill>
        </w:rPr>
        <w:t xml:space="preserve">2300mm</w:t>
      </w:r>
      <w:r>
        <w:rPr>
          <w:rFonts w:hint="eastAsia" w:cs="宋体"/>
          <w:color w:val="000000" w:themeColor="text1"/>
          <w:szCs w:val="21"/>
          <w:highlight w:val="none"/>
          <w14:textFill>
            <w14:solidFill>
              <w14:schemeClr w14:val="tx1"/>
            </w14:solidFill>
          </w14:textFill>
        </w:rPr>
        <w:t xml:space="preserve">×高≥</w:t>
      </w:r>
      <w:r>
        <w:rPr>
          <w:rFonts w:cs="宋体"/>
          <w:color w:val="000000" w:themeColor="text1"/>
          <w:szCs w:val="21"/>
          <w:highlight w:val="none"/>
          <w14:textFill>
            <w14:solidFill>
              <w14:schemeClr w14:val="tx1"/>
            </w14:solidFill>
          </w14:textFill>
        </w:rPr>
        <w:t xml:space="preserve">2700mm</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（五）垃圾桶（</w:t>
      </w:r>
      <w:r>
        <w:rPr>
          <w:rFonts w:cs="宋体"/>
          <w:color w:val="000000" w:themeColor="text1"/>
          <w:szCs w:val="21"/>
          <w:highlight w:val="none"/>
          <w14:textFill>
            <w14:solidFill>
              <w14:schemeClr w14:val="tx1"/>
            </w14:solidFill>
          </w14:textFill>
        </w:rPr>
        <w:t xml:space="preserve">240L</w:t>
      </w:r>
      <w:r>
        <w:rPr>
          <w:rFonts w:hint="eastAsia" w:cs="宋体"/>
          <w:color w:val="000000" w:themeColor="text1"/>
          <w:szCs w:val="21"/>
          <w:highlight w:val="none"/>
          <w14:textFill>
            <w14:solidFill>
              <w14:schemeClr w14:val="tx1"/>
            </w14:solidFill>
          </w14:textFill>
        </w:rPr>
        <w:t xml:space="preserve">）</w:t>
      </w:r>
      <w:r/>
    </w:p>
    <w:p>
      <w:pPr>
        <w:pStyle w:val="876"/>
        <w:ind w:firstLine="0"/>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1</w:t>
      </w:r>
      <w:r>
        <w:rPr>
          <w:rFonts w:hint="eastAsia" w:cs="宋体"/>
          <w:color w:val="000000" w:themeColor="text1"/>
          <w:szCs w:val="21"/>
          <w:highlight w:val="none"/>
          <w14:textFill>
            <w14:solidFill>
              <w14:schemeClr w14:val="tx1"/>
            </w14:solidFill>
          </w14:textFill>
        </w:rPr>
        <w:t xml:space="preserve">）材质：</w:t>
      </w:r>
      <w:r>
        <w:rPr>
          <w:rFonts w:cs="宋体"/>
          <w:color w:val="000000" w:themeColor="text1"/>
          <w:szCs w:val="21"/>
          <w:highlight w:val="none"/>
          <w14:textFill>
            <w14:solidFill>
              <w14:schemeClr w14:val="tx1"/>
            </w14:solidFill>
          </w14:textFill>
        </w:rPr>
        <w:t xml:space="preserve">100%</w:t>
      </w:r>
      <w:r>
        <w:rPr>
          <w:rFonts w:hint="eastAsia" w:cs="宋体"/>
          <w:color w:val="000000" w:themeColor="text1"/>
          <w:szCs w:val="21"/>
          <w:highlight w:val="none"/>
          <w14:textFill>
            <w14:solidFill>
              <w14:schemeClr w14:val="tx1"/>
            </w14:solidFill>
          </w14:textFill>
        </w:rPr>
        <w:t xml:space="preserve">高密度聚乙烯（</w:t>
      </w:r>
      <w:r>
        <w:rPr>
          <w:rFonts w:cs="宋体"/>
          <w:color w:val="000000" w:themeColor="text1"/>
          <w:szCs w:val="21"/>
          <w:highlight w:val="none"/>
          <w14:textFill>
            <w14:solidFill>
              <w14:schemeClr w14:val="tx1"/>
            </w14:solidFill>
          </w14:textFill>
        </w:rPr>
        <w:t xml:space="preserve">HDPE</w:t>
      </w:r>
      <w:r>
        <w:rPr>
          <w:rFonts w:hint="eastAsia" w:cs="宋体"/>
          <w:color w:val="000000" w:themeColor="text1"/>
          <w:szCs w:val="21"/>
          <w:highlight w:val="none"/>
          <w14:textFill>
            <w14:solidFill>
              <w14:schemeClr w14:val="tx1"/>
            </w14:solidFill>
          </w14:textFill>
        </w:rPr>
        <w:t xml:space="preserve">）</w:t>
      </w:r>
      <w:r/>
    </w:p>
    <w:p>
      <w:pPr>
        <w:pStyle w:val="876"/>
        <w:ind w:firstLine="0"/>
        <w:rPr>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）桶身净重量：</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10.5Kg(</w:t>
      </w:r>
      <w:r>
        <w:rPr>
          <w:rFonts w:hint="eastAsia"/>
          <w:color w:val="000000" w:themeColor="text1"/>
          <w:highlight w:val="none"/>
          <w14:textFill>
            <w14:solidFill>
              <w14:schemeClr w14:val="tx1"/>
            </w14:solidFill>
          </w14:textFill>
        </w:rPr>
        <w:t xml:space="preserve">不含盖、轴、轮</w:t>
      </w:r>
      <w:r>
        <w:rPr>
          <w:color w:val="000000" w:themeColor="text1"/>
          <w:highlight w:val="none"/>
          <w14:textFill>
            <w14:solidFill>
              <w14:schemeClr w14:val="tx1"/>
            </w14:solidFill>
          </w14:textFill>
        </w:rPr>
        <w:t xml:space="preserve">)</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）桶体壁厚</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5.9mm</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）桶底厚度</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6.6mm</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）滚轮：橡胶材质，直径≥</w:t>
      </w:r>
      <w:r>
        <w:rPr>
          <w:color w:val="000000" w:themeColor="text1"/>
          <w:highlight w:val="none"/>
          <w14:textFill>
            <w14:solidFill>
              <w14:schemeClr w14:val="tx1"/>
            </w14:solidFill>
          </w14:textFill>
        </w:rPr>
        <w:t xml:space="preserve">19cm,</w:t>
      </w:r>
      <w:r>
        <w:rPr>
          <w:rFonts w:hint="eastAsia"/>
          <w:color w:val="000000" w:themeColor="text1"/>
          <w:highlight w:val="none"/>
          <w14:textFill>
            <w14:solidFill>
              <w14:schemeClr w14:val="tx1"/>
            </w14:solidFill>
          </w14:textFill>
        </w:rPr>
        <w:t xml:space="preserve">承载力≥</w:t>
      </w:r>
      <w:r>
        <w:rPr>
          <w:color w:val="000000" w:themeColor="text1"/>
          <w:highlight w:val="none"/>
          <w14:textFill>
            <w14:solidFill>
              <w14:schemeClr w14:val="tx1"/>
            </w14:solidFill>
          </w14:textFill>
        </w:rPr>
        <w:t xml:space="preserve">150Kg</w:t>
      </w:r>
      <w:r/>
    </w:p>
    <w:p>
      <w:pPr>
        <w:pStyle w:val="876"/>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）轮轴：</w:t>
      </w:r>
      <w:r>
        <w:rPr>
          <w:color w:val="000000" w:themeColor="text1"/>
          <w:highlight w:val="none"/>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中碳钢实心轴，表面电镀锌防锈</w:t>
      </w:r>
      <w:r/>
    </w:p>
    <w:p>
      <w:pPr>
        <w:ind w:firstLine="422"/>
        <w:spacing w:line="360" w:lineRule="auto"/>
        <w:rPr>
          <w:rFonts w:asci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六、其他要求：</w:t>
      </w:r>
      <w:r/>
    </w:p>
    <w:p>
      <w:pPr>
        <w:ind w:firstLine="420"/>
        <w:spacing w:line="360" w:lineRule="auto"/>
        <w:tabs>
          <w:tab w:val="left" w:pos="7770" w:leader="none"/>
        </w:tabs>
        <w:rPr>
          <w:rFonts w:ascii="宋体" w:cs="宋体"/>
          <w:i/>
          <w:iCs/>
          <w:color w:val="000000" w:themeColor="text1"/>
          <w:szCs w:val="21"/>
          <w:highlight w:val="none"/>
          <w:u w:val="single"/>
          <w14:textFill>
            <w14:solidFill>
              <w14:schemeClr w14:val="tx1"/>
            </w14:solidFill>
          </w14:textFill>
        </w:rPr>
      </w:pPr>
      <w:r>
        <w:rPr>
          <w:rFonts w:ascii="宋体" w:hAnsi="宋体" w:cs="宋体"/>
          <w:i/>
          <w:iCs/>
          <w:color w:val="000000" w:themeColor="text1"/>
          <w:szCs w:val="21"/>
          <w:highlight w:val="none"/>
          <w:u w:val="single"/>
          <w14:textFill>
            <w14:solidFill>
              <w14:schemeClr w14:val="tx1"/>
            </w14:solidFill>
          </w14:textFill>
        </w:rPr>
        <w:t xml:space="preserve">6.1</w:t>
      </w:r>
      <w:r>
        <w:rPr>
          <w:rFonts w:hint="eastAsia" w:ascii="宋体" w:hAnsi="宋体" w:cs="宋体"/>
          <w:i/>
          <w:iCs/>
          <w:color w:val="000000" w:themeColor="text1"/>
          <w:szCs w:val="21"/>
          <w:highlight w:val="none"/>
          <w:u w:val="single"/>
          <w14:textFill>
            <w14:solidFill>
              <w14:schemeClr w14:val="tx1"/>
            </w14:solidFill>
          </w14:textFill>
        </w:rPr>
        <w:t xml:space="preserve">环卫工人工资的要求按照《关于建立环卫工人工资专用账户的通知》，投标人必须为本项目建立环卫工人工资专用账户。（提供建立环卫工人工资专用账户承诺函原件上传，格式自拟）</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6.2 </w:t>
      </w:r>
      <w:r>
        <w:rPr>
          <w:rFonts w:hint="eastAsia" w:ascii="宋体" w:hAnsi="宋体" w:cs="宋体"/>
          <w:color w:val="000000" w:themeColor="text1"/>
          <w:szCs w:val="21"/>
          <w:highlight w:val="none"/>
          <w14:textFill>
            <w14:solidFill>
              <w14:schemeClr w14:val="tx1"/>
            </w14:solidFill>
          </w14:textFill>
        </w:rPr>
        <w:t xml:space="preserve">采购人不提供中标供应商作业人员的食宿。</w:t>
      </w:r>
      <w:r/>
    </w:p>
    <w:p>
      <w:pPr>
        <w:pStyle w:val="876"/>
        <w:ind w:firstLine="420"/>
        <w:rPr>
          <w:color w:val="000000" w:themeColor="text1"/>
          <w:highlight w:val="none"/>
          <w14:textFill>
            <w14:solidFill>
              <w14:schemeClr w14:val="tx1"/>
            </w14:solidFill>
          </w14:textFill>
        </w:rPr>
      </w:pPr>
      <w:r>
        <w:rPr>
          <w:rFonts w:cs="宋体"/>
          <w:color w:val="000000" w:themeColor="text1"/>
          <w:szCs w:val="21"/>
          <w:highlight w:val="none"/>
          <w14:textFill>
            <w14:solidFill>
              <w14:schemeClr w14:val="tx1"/>
            </w14:solidFill>
          </w14:textFill>
        </w:rPr>
        <w:t xml:space="preserve">6.3</w:t>
      </w:r>
      <w:r>
        <w:rPr>
          <w:rFonts w:hint="eastAsia" w:cs="宋体"/>
          <w:color w:val="000000" w:themeColor="text1"/>
          <w:szCs w:val="21"/>
          <w:highlight w:val="none"/>
          <w14:textFill>
            <w14:solidFill>
              <w14:schemeClr w14:val="tx1"/>
            </w14:solidFill>
          </w14:textFill>
        </w:rPr>
        <w:t xml:space="preserve">项目运营中所涉及的所有矛盾中标供应商自行协调。</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6.4 </w:t>
      </w:r>
      <w:r>
        <w:rPr>
          <w:rFonts w:hint="eastAsia" w:ascii="宋体" w:hAnsi="宋体" w:cs="宋体"/>
          <w:color w:val="000000" w:themeColor="text1"/>
          <w:szCs w:val="21"/>
          <w:highlight w:val="none"/>
          <w14:textFill>
            <w14:solidFill>
              <w14:schemeClr w14:val="tx1"/>
            </w14:solidFill>
          </w14:textFill>
        </w:rPr>
        <w:t xml:space="preserve">中标供应商配置设备的费用均包含在本次投标报价中，采购人不在另行支付。</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6.5</w:t>
      </w:r>
      <w:r>
        <w:rPr>
          <w:rFonts w:hint="eastAsia" w:ascii="宋体" w:hAnsi="宋体" w:cs="宋体"/>
          <w:color w:val="000000" w:themeColor="text1"/>
          <w:szCs w:val="21"/>
          <w:highlight w:val="none"/>
          <w14:textFill>
            <w14:solidFill>
              <w14:schemeClr w14:val="tx1"/>
            </w14:solidFill>
          </w14:textFill>
        </w:rPr>
        <w:t xml:space="preserve">垃圾中转站的设备维修费、除臭设备维护（更新）费、除臭药剂费、卷帘门维修（更新）费、水电设施维修（更换）费、水电费、渗滤液处置等均包含在本次投标报价中，采购人不在另行支付。</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6.6</w:t>
      </w:r>
      <w:r>
        <w:rPr>
          <w:rFonts w:hint="eastAsia" w:ascii="宋体" w:hAnsi="宋体" w:cs="宋体"/>
          <w:color w:val="000000" w:themeColor="text1"/>
          <w:szCs w:val="21"/>
          <w:highlight w:val="none"/>
          <w14:textFill>
            <w14:solidFill>
              <w14:schemeClr w14:val="tx1"/>
            </w14:solidFill>
          </w14:textFill>
        </w:rPr>
        <w:t xml:space="preserve">公厕水电费、设施维修、果壳箱维修费、垃圾容器补缺、更换，垃圾亭标牌标识补缺更新等均包含在本次投标报价中，采购人不另行支付。</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6.7</w:t>
      </w:r>
      <w:r>
        <w:rPr>
          <w:rFonts w:hint="eastAsia" w:ascii="宋体" w:hAnsi="宋体" w:cs="宋体"/>
          <w:color w:val="000000" w:themeColor="text1"/>
          <w:szCs w:val="21"/>
          <w:highlight w:val="none"/>
          <w14:textFill>
            <w14:solidFill>
              <w14:schemeClr w14:val="tx1"/>
            </w14:solidFill>
          </w14:textFill>
        </w:rPr>
        <w:t xml:space="preserve">中标供应商在确保作业质量的情况下，如中标后优化作业方案，在实施运作过程中，作业人数不低于中标人员</w:t>
      </w:r>
      <w:r>
        <w:rPr>
          <w:rFonts w:ascii="宋体" w:hAnsi="宋体" w:cs="宋体"/>
          <w:color w:val="000000" w:themeColor="text1"/>
          <w:szCs w:val="21"/>
          <w:highlight w:val="none"/>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，实行部分机械化作业替代人工作业（减少作业人数），该方案经采购人同意后方可实施。</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6.8</w:t>
      </w:r>
      <w:r>
        <w:rPr>
          <w:rFonts w:hint="eastAsia" w:ascii="宋体" w:hAnsi="宋体" w:cs="宋体"/>
          <w:color w:val="000000" w:themeColor="text1"/>
          <w:szCs w:val="21"/>
          <w:highlight w:val="none"/>
          <w14:textFill>
            <w14:solidFill>
              <w14:schemeClr w14:val="tx1"/>
            </w14:solidFill>
          </w14:textFill>
        </w:rPr>
        <w:t xml:space="preserve">中标供应商的工作人员发生违法、违规行为的，所造成一切后果及损失，由中标供应商承担一切责任。</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6.9 </w:t>
      </w:r>
      <w:r>
        <w:rPr>
          <w:rFonts w:hint="eastAsia" w:ascii="宋体" w:hAnsi="宋体" w:cs="宋体"/>
          <w:color w:val="000000" w:themeColor="text1"/>
          <w:szCs w:val="21"/>
          <w:highlight w:val="none"/>
          <w14:textFill>
            <w14:solidFill>
              <w14:schemeClr w14:val="tx1"/>
            </w14:solidFill>
          </w14:textFill>
        </w:rPr>
        <w:t xml:space="preserve">未经采购人同意，中标供应商不得对市政道路的设施及布置作变更。</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6.10</w:t>
      </w:r>
      <w:r>
        <w:rPr>
          <w:rFonts w:hint="eastAsia" w:ascii="宋体" w:hAnsi="宋体" w:cs="宋体"/>
          <w:color w:val="000000" w:themeColor="text1"/>
          <w:szCs w:val="21"/>
          <w:highlight w:val="none"/>
          <w14:textFill>
            <w14:solidFill>
              <w14:schemeClr w14:val="tx1"/>
            </w14:solidFill>
          </w14:textFill>
        </w:rPr>
        <w:t xml:space="preserve">服务期间发生各种事故：包括治安、交通、消防和劳务纠纷等事件均由中标供应商承担一切责任。</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6.11</w:t>
      </w:r>
      <w:r>
        <w:rPr>
          <w:rFonts w:hint="eastAsia" w:ascii="宋体" w:hAnsi="宋体" w:cs="宋体"/>
          <w:color w:val="000000" w:themeColor="text1"/>
          <w:szCs w:val="21"/>
          <w:highlight w:val="none"/>
          <w14:textFill>
            <w14:solidFill>
              <w14:schemeClr w14:val="tx1"/>
            </w14:solidFill>
          </w14:textFill>
        </w:rPr>
        <w:t xml:space="preserve">采购人有权以会议形式召集中标供应商研究工作和通报情况。中标供应商需按通知要求出席会议。</w:t>
      </w:r>
      <w:r/>
    </w:p>
    <w:p>
      <w:pPr>
        <w:ind w:firstLine="420"/>
        <w:spacing w:line="360" w:lineRule="auto"/>
        <w:rPr>
          <w:rFonts w:ascii="宋体" w:cs="宋体"/>
          <w:color w:val="000000" w:themeColor="text1"/>
          <w:szCs w:val="21"/>
          <w:highlight w:val="none"/>
          <w14:textFill>
            <w14:solidFill>
              <w14:schemeClr w14:val="tx1"/>
            </w14:solidFill>
          </w14:textFill>
        </w:rPr>
        <w:outlineLvl w:val="1"/>
      </w:pPr>
      <w:r>
        <w:rPr>
          <w:rFonts w:ascii="宋体" w:hAnsi="宋体" w:cs="宋体"/>
          <w:color w:val="000000" w:themeColor="text1"/>
          <w:szCs w:val="21"/>
          <w:highlight w:val="none"/>
          <w14:textFill>
            <w14:solidFill>
              <w14:schemeClr w14:val="tx1"/>
            </w14:solidFill>
          </w14:textFill>
        </w:rPr>
        <w:t xml:space="preserve">6.12</w:t>
      </w:r>
      <w:r>
        <w:rPr>
          <w:rFonts w:hint="eastAsia" w:ascii="宋体" w:hAnsi="宋体" w:cs="宋体"/>
          <w:color w:val="000000" w:themeColor="text1"/>
          <w:szCs w:val="21"/>
          <w:highlight w:val="none"/>
          <w14:textFill>
            <w14:solidFill>
              <w14:schemeClr w14:val="tx1"/>
            </w14:solidFill>
          </w14:textFill>
        </w:rPr>
        <w:t xml:space="preserve">中标供应商负责做好市、区、采购人布置的临时性环境卫生保障任务（含各类创建、迎检、重大活动、服务范围外路段等），有特殊任务需要紧急临时增加人员投入时，中标供应商及其员工需无条件服从采购人的调遣和指挥并参与应急或加班工作。因其他因素导致作业量增加的，不论这些因素是可预测或不可预测的，均已包含在投标报价中。</w:t>
      </w:r>
      <w:r/>
    </w:p>
    <w:p>
      <w:pPr>
        <w:ind w:firstLine="422"/>
        <w:spacing w:line="360" w:lineRule="auto"/>
        <w:tabs>
          <w:tab w:val="left" w:pos="7770" w:leader="none"/>
        </w:tabs>
        <w:rPr>
          <w:rFonts w:ascii="宋体" w:cs="宋体"/>
          <w:b/>
          <w:bCs/>
          <w:color w:val="000000" w:themeColor="text1"/>
          <w:szCs w:val="21"/>
          <w:highlight w:val="none"/>
          <w14:textFill>
            <w14:solidFill>
              <w14:schemeClr w14:val="tx1"/>
            </w14:solidFill>
          </w14:textFill>
        </w:rPr>
        <w:outlineLvl w:val="1"/>
      </w:pPr>
      <w:r>
        <w:rPr>
          <w:rFonts w:ascii="宋体" w:hAnsi="宋体" w:cs="宋体"/>
          <w:b/>
          <w:bCs/>
          <w:color w:val="000000" w:themeColor="text1"/>
          <w:szCs w:val="21"/>
          <w:highlight w:val="none"/>
          <w14:textFill>
            <w14:solidFill>
              <w14:schemeClr w14:val="tx1"/>
            </w14:solidFill>
          </w14:textFill>
        </w:rPr>
        <w:t xml:space="preserve">6.13</w:t>
      </w:r>
      <w:r>
        <w:rPr>
          <w:rFonts w:hint="eastAsia" w:ascii="宋体" w:hAnsi="宋体" w:cs="宋体"/>
          <w:b/>
          <w:bCs/>
          <w:color w:val="000000" w:themeColor="text1"/>
          <w:szCs w:val="21"/>
          <w:highlight w:val="none"/>
          <w14:textFill>
            <w14:solidFill>
              <w14:schemeClr w14:val="tx1"/>
            </w14:solidFill>
          </w14:textFill>
        </w:rPr>
        <w:t xml:space="preserve">违约责任</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不得将江都区大桥镇环卫一体化市场化项目转包，也不得以任何形式将江都区大桥镇环卫一体化市场项目分包，否则，将视为中标供应商严重违约，采购人有权上报财政监管部门并有权追偿由此给采购人造成的经济损失。</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在执行临时性、阶段性特殊任务（含国家、省、市检查，突击整治，重大活动等）期间，中标供应商的作业质量未能达到服务要求，采购人可扣减中标供应商当月的服务经费。</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服务期间，如因中标供应商在本服务项目范围内违法法律、法规及国家有关政策而受到政府有关部门的处分、处罚，而无法继续履行合同的，采购人有权上报财政监管部门，不承担任何法律责任及经济补偿。</w:t>
      </w:r>
      <w:r/>
    </w:p>
    <w:p>
      <w:pPr>
        <w:ind w:firstLine="420"/>
        <w:spacing w:line="360" w:lineRule="auto"/>
        <w:tabs>
          <w:tab w:val="left" w:pos="7770" w:leader="none"/>
        </w:tabs>
        <w:rPr>
          <w:rFonts w:asci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服务期间，双方需严格履行合同；在执行过程中，如遇未尽事宜，双方可协商解决，经协商达成一致的需签订书面协议作为主合同的补充。</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停车场地由中标供应商在合同签订前自行解决，并配备相关清洗设施。位置要求在大桥镇范围内，需是非耕种用地。所需的费用全部计入投标总价。</w:t>
      </w:r>
      <w:r/>
    </w:p>
    <w:p>
      <w:pPr>
        <w:ind w:firstLine="422"/>
        <w:spacing w:line="360" w:lineRule="auto"/>
        <w:rPr>
          <w:rFonts w:ascii="宋体" w:cs="宋体"/>
          <w:b/>
          <w:bCs/>
          <w:color w:val="000000" w:themeColor="text1"/>
          <w:szCs w:val="21"/>
          <w:highlight w:val="none"/>
          <w14:textFill>
            <w14:solidFill>
              <w14:schemeClr w14:val="tx1"/>
            </w14:solidFill>
          </w14:textFill>
        </w:rPr>
        <w:outlineLvl w:val="1"/>
      </w:pPr>
      <w:r>
        <w:rPr>
          <w:rFonts w:ascii="宋体" w:cs="宋体"/>
          <w:b/>
          <w:bCs/>
          <w:color w:val="000000" w:themeColor="text1"/>
          <w:szCs w:val="21"/>
          <w:highlight w:val="none"/>
          <w14:textFill>
            <w14:solidFill>
              <w14:schemeClr w14:val="tx1"/>
            </w14:solidFill>
          </w14:textFill>
        </w:rPr>
      </w:r>
      <w:r/>
    </w:p>
    <w:p>
      <w:pPr>
        <w:ind w:firstLine="422"/>
        <w:spacing w:line="360" w:lineRule="auto"/>
        <w:rPr>
          <w:rFonts w:ascii="宋体" w:cs="宋体"/>
          <w:b/>
          <w:bCs/>
          <w:color w:val="000000" w:themeColor="text1"/>
          <w:szCs w:val="21"/>
          <w:highlight w:val="none"/>
          <w14:textFill>
            <w14:solidFill>
              <w14:schemeClr w14:val="tx1"/>
            </w14:solidFill>
          </w14:textFill>
        </w:rPr>
        <w:outlineLvl w:val="1"/>
      </w:pPr>
      <w:r>
        <w:rPr>
          <w:rFonts w:ascii="宋体" w:cs="宋体"/>
          <w:b/>
          <w:bCs/>
          <w:color w:val="000000" w:themeColor="text1"/>
          <w:szCs w:val="21"/>
          <w:highlight w:val="none"/>
          <w14:textFill>
            <w14:solidFill>
              <w14:schemeClr w14:val="tx1"/>
            </w14:solidFill>
          </w14:textFill>
        </w:rPr>
      </w:r>
      <w:r/>
    </w:p>
    <w:p>
      <w:pPr>
        <w:spacing w:line="360" w:lineRule="auto"/>
        <w:rPr>
          <w:rFonts w:ascii="宋体" w:cs="宋体"/>
          <w:b/>
          <w:bCs/>
          <w:color w:val="000000" w:themeColor="text1"/>
          <w:szCs w:val="21"/>
          <w:highlight w:val="none"/>
          <w14:textFill>
            <w14:solidFill>
              <w14:schemeClr w14:val="tx1"/>
            </w14:solidFill>
          </w14:textFill>
        </w:rPr>
        <w:sectPr>
          <w:footerReference w:type="default" r:id="rId12"/>
          <w:footnotePr/>
          <w:endnotePr/>
          <w:type w:val="nextPage"/>
          <w:pgSz w:w="11906" w:h="16839" w:orient="portrait"/>
          <w:pgMar w:top="1185" w:right="1185" w:bottom="1242" w:left="1185" w:header="0" w:footer="1023" w:gutter="0"/>
          <w:cols w:num="1" w:sep="0" w:space="720" w:equalWidth="1"/>
          <w:docGrid w:linePitch="360"/>
        </w:sectPr>
        <w:outlineLvl w:val="1"/>
      </w:pPr>
      <w:r>
        <w:rPr>
          <w:rFonts w:ascii="宋体" w:cs="宋体"/>
          <w:b/>
          <w:bCs/>
          <w:color w:val="000000" w:themeColor="text1"/>
          <w:szCs w:val="21"/>
          <w:highlight w:val="none"/>
          <w14:textFill>
            <w14:solidFill>
              <w14:schemeClr w14:val="tx1"/>
            </w14:solidFill>
          </w14:textFill>
        </w:rPr>
      </w:r>
      <w:r/>
    </w:p>
    <w:p>
      <w:pPr>
        <w:numPr>
          <w:ilvl w:val="0"/>
          <w:numId w:val="3"/>
        </w:numPr>
        <w:spacing w:line="360" w:lineRule="auto"/>
        <w:rPr>
          <w:rFonts w:asci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包</w:t>
      </w:r>
      <w:r>
        <w:rPr>
          <w:rFonts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评估细则</w:t>
      </w:r>
      <w:r/>
    </w:p>
    <w:p>
      <w:pPr>
        <w:ind w:firstLine="420"/>
        <w:spacing w:line="360" w:lineRule="auto"/>
        <w:rPr>
          <w:rFonts w:asci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本项目评估采用百分考核制，每月根据考核结果支付相应作业费用，得分≥</w:t>
      </w:r>
      <w:r>
        <w:rPr>
          <w:rFonts w:ascii="宋体" w:hAnsi="宋体" w:cs="宋体"/>
          <w:color w:val="000000" w:themeColor="text1"/>
          <w:szCs w:val="21"/>
          <w:highlight w:val="none"/>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分全额支付；</w:t>
      </w:r>
      <w:r>
        <w:rPr>
          <w:rFonts w:ascii="宋体" w:hAnsi="宋体" w:cs="宋体"/>
          <w:color w:val="000000" w:themeColor="text1"/>
          <w:szCs w:val="21"/>
          <w:highlight w:val="none"/>
          <w14:textFill>
            <w14:solidFill>
              <w14:schemeClr w14:val="tx1"/>
            </w14:solidFill>
          </w14:textFill>
        </w:rPr>
        <w:t xml:space="preserve">85</w:t>
      </w:r>
      <w:r>
        <w:rPr>
          <w:rFonts w:hint="eastAsia" w:ascii="宋体" w:hAnsi="宋体" w:cs="宋体"/>
          <w:color w:val="000000" w:themeColor="text1"/>
          <w:szCs w:val="21"/>
          <w:highlight w:val="none"/>
          <w14:textFill>
            <w14:solidFill>
              <w14:schemeClr w14:val="tx1"/>
            </w14:solidFill>
          </w14:textFill>
        </w:rPr>
        <w:t xml:space="preserve">分≤得分＜</w:t>
      </w:r>
      <w:r>
        <w:rPr>
          <w:rFonts w:ascii="宋体" w:hAnsi="宋体" w:cs="宋体"/>
          <w:color w:val="000000" w:themeColor="text1"/>
          <w:szCs w:val="21"/>
          <w:highlight w:val="none"/>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分，每一分扣</w:t>
      </w:r>
      <w:r>
        <w:rPr>
          <w:rFonts w:ascii="宋体" w:hAnsi="宋体" w:cs="宋体"/>
          <w:color w:val="000000" w:themeColor="text1"/>
          <w:szCs w:val="21"/>
          <w:highlight w:val="none"/>
          <w14:textFill>
            <w14:solidFill>
              <w14:schemeClr w14:val="tx1"/>
            </w14:solidFill>
          </w14:textFill>
        </w:rPr>
        <w:t xml:space="preserve">2000</w:t>
      </w:r>
      <w:r>
        <w:rPr>
          <w:rFonts w:hint="eastAsia" w:ascii="宋体" w:hAnsi="宋体" w:cs="宋体"/>
          <w:color w:val="000000" w:themeColor="text1"/>
          <w:szCs w:val="21"/>
          <w:highlight w:val="none"/>
          <w14:textFill>
            <w14:solidFill>
              <w14:schemeClr w14:val="tx1"/>
            </w14:solidFill>
          </w14:textFill>
        </w:rPr>
        <w:t xml:space="preserve">元；</w:t>
      </w:r>
      <w:r>
        <w:rPr>
          <w:rFonts w:ascii="宋体" w:hAnsi="宋体" w:cs="宋体"/>
          <w:color w:val="000000" w:themeColor="text1"/>
          <w:szCs w:val="21"/>
          <w:highlight w:val="none"/>
          <w14:textFill>
            <w14:solidFill>
              <w14:schemeClr w14:val="tx1"/>
            </w14:solidFill>
          </w14:textFill>
        </w:rPr>
        <w:t xml:space="preserve">80</w:t>
      </w:r>
      <w:r>
        <w:rPr>
          <w:rFonts w:hint="eastAsia" w:ascii="宋体" w:hAnsi="宋体" w:cs="宋体"/>
          <w:color w:val="000000" w:themeColor="text1"/>
          <w:szCs w:val="21"/>
          <w:highlight w:val="none"/>
          <w14:textFill>
            <w14:solidFill>
              <w14:schemeClr w14:val="tx1"/>
            </w14:solidFill>
          </w14:textFill>
        </w:rPr>
        <w:t xml:space="preserve">分≤得分＜</w:t>
      </w:r>
      <w:r>
        <w:rPr>
          <w:rFonts w:ascii="宋体" w:hAnsi="宋体" w:cs="宋体"/>
          <w:color w:val="000000" w:themeColor="text1"/>
          <w:szCs w:val="21"/>
          <w:highlight w:val="none"/>
          <w14:textFill>
            <w14:solidFill>
              <w14:schemeClr w14:val="tx1"/>
            </w14:solidFill>
          </w14:textFill>
        </w:rPr>
        <w:t xml:space="preserve">85</w:t>
      </w:r>
      <w:r>
        <w:rPr>
          <w:rFonts w:hint="eastAsia" w:ascii="宋体" w:hAnsi="宋体" w:cs="宋体"/>
          <w:color w:val="000000" w:themeColor="text1"/>
          <w:szCs w:val="21"/>
          <w:highlight w:val="none"/>
          <w14:textFill>
            <w14:solidFill>
              <w14:schemeClr w14:val="tx1"/>
            </w14:solidFill>
          </w14:textFill>
        </w:rPr>
        <w:t xml:space="preserve">分，每一分扣</w:t>
      </w:r>
      <w:r>
        <w:rPr>
          <w:rFonts w:ascii="宋体" w:hAnsi="宋体" w:cs="宋体"/>
          <w:color w:val="000000" w:themeColor="text1"/>
          <w:szCs w:val="21"/>
          <w:highlight w:val="none"/>
          <w14:textFill>
            <w14:solidFill>
              <w14:schemeClr w14:val="tx1"/>
            </w14:solidFill>
          </w14:textFill>
        </w:rPr>
        <w:t xml:space="preserve">3000</w:t>
      </w:r>
      <w:r>
        <w:rPr>
          <w:rFonts w:hint="eastAsia" w:ascii="宋体" w:hAnsi="宋体" w:cs="宋体"/>
          <w:color w:val="000000" w:themeColor="text1"/>
          <w:szCs w:val="21"/>
          <w:highlight w:val="none"/>
          <w14:textFill>
            <w14:solidFill>
              <w14:schemeClr w14:val="tx1"/>
            </w14:solidFill>
          </w14:textFill>
        </w:rPr>
        <w:t xml:space="preserve">元；</w:t>
      </w:r>
      <w:r>
        <w:rPr>
          <w:rFonts w:ascii="宋体" w:hAnsi="宋体" w:cs="宋体"/>
          <w:color w:val="000000" w:themeColor="text1"/>
          <w:szCs w:val="21"/>
          <w:highlight w:val="none"/>
          <w14:textFill>
            <w14:solidFill>
              <w14:schemeClr w14:val="tx1"/>
            </w14:solidFill>
          </w14:textFill>
        </w:rPr>
        <w:t xml:space="preserve">70</w:t>
      </w:r>
      <w:r>
        <w:rPr>
          <w:rFonts w:hint="eastAsia" w:ascii="宋体" w:hAnsi="宋体" w:cs="宋体"/>
          <w:color w:val="000000" w:themeColor="text1"/>
          <w:szCs w:val="21"/>
          <w:highlight w:val="none"/>
          <w14:textFill>
            <w14:solidFill>
              <w14:schemeClr w14:val="tx1"/>
            </w14:solidFill>
          </w14:textFill>
        </w:rPr>
        <w:t xml:space="preserve">分≤得分＜</w:t>
      </w:r>
      <w:r>
        <w:rPr>
          <w:rFonts w:ascii="宋体" w:hAnsi="宋体" w:cs="宋体"/>
          <w:color w:val="000000" w:themeColor="text1"/>
          <w:szCs w:val="21"/>
          <w:highlight w:val="none"/>
          <w14:textFill>
            <w14:solidFill>
              <w14:schemeClr w14:val="tx1"/>
            </w14:solidFill>
          </w14:textFill>
        </w:rPr>
        <w:t xml:space="preserve">80</w:t>
      </w:r>
      <w:r>
        <w:rPr>
          <w:rFonts w:hint="eastAsia" w:ascii="宋体" w:hAnsi="宋体" w:cs="宋体"/>
          <w:color w:val="000000" w:themeColor="text1"/>
          <w:szCs w:val="21"/>
          <w:highlight w:val="none"/>
          <w14:textFill>
            <w14:solidFill>
              <w14:schemeClr w14:val="tx1"/>
            </w14:solidFill>
          </w14:textFill>
        </w:rPr>
        <w:t xml:space="preserve">分，每一分扣</w:t>
      </w:r>
      <w:r>
        <w:rPr>
          <w:rFonts w:ascii="宋体" w:hAnsi="宋体" w:cs="宋体"/>
          <w:color w:val="000000" w:themeColor="text1"/>
          <w:szCs w:val="21"/>
          <w:highlight w:val="none"/>
          <w14:textFill>
            <w14:solidFill>
              <w14:schemeClr w14:val="tx1"/>
            </w14:solidFill>
          </w14:textFill>
        </w:rPr>
        <w:t xml:space="preserve">5000</w:t>
      </w:r>
      <w:r>
        <w:rPr>
          <w:rFonts w:hint="eastAsia" w:ascii="宋体" w:hAnsi="宋体" w:cs="宋体"/>
          <w:color w:val="000000" w:themeColor="text1"/>
          <w:szCs w:val="21"/>
          <w:highlight w:val="none"/>
          <w14:textFill>
            <w14:solidFill>
              <w14:schemeClr w14:val="tx1"/>
            </w14:solidFill>
          </w14:textFill>
        </w:rPr>
        <w:t xml:space="preserve">元；连续两次得分低于</w:t>
      </w:r>
      <w:r>
        <w:rPr>
          <w:rFonts w:ascii="宋体" w:hAnsi="宋体" w:cs="宋体"/>
          <w:color w:val="000000" w:themeColor="text1"/>
          <w:szCs w:val="21"/>
          <w:highlight w:val="none"/>
          <w14:textFill>
            <w14:solidFill>
              <w14:schemeClr w14:val="tx1"/>
            </w14:solidFill>
          </w14:textFill>
        </w:rPr>
        <w:t xml:space="preserve">80</w:t>
      </w:r>
      <w:r>
        <w:rPr>
          <w:rFonts w:hint="eastAsia" w:ascii="宋体" w:hAnsi="宋体" w:cs="宋体"/>
          <w:color w:val="000000" w:themeColor="text1"/>
          <w:szCs w:val="21"/>
          <w:highlight w:val="none"/>
          <w14:textFill>
            <w14:solidFill>
              <w14:schemeClr w14:val="tx1"/>
            </w14:solidFill>
          </w14:textFill>
        </w:rPr>
        <w:t xml:space="preserve">分，给予提醒谈话，责令整改；低于</w:t>
      </w:r>
      <w:r>
        <w:rPr>
          <w:rFonts w:ascii="宋体" w:hAnsi="宋体" w:cs="宋体"/>
          <w:color w:val="000000" w:themeColor="text1"/>
          <w:szCs w:val="21"/>
          <w:highlight w:val="none"/>
          <w14:textFill>
            <w14:solidFill>
              <w14:schemeClr w14:val="tx1"/>
            </w14:solidFill>
          </w14:textFill>
        </w:rPr>
        <w:t xml:space="preserve">70</w:t>
      </w:r>
      <w:r>
        <w:rPr>
          <w:rFonts w:hint="eastAsia" w:ascii="宋体" w:hAnsi="宋体" w:cs="宋体"/>
          <w:color w:val="000000" w:themeColor="text1"/>
          <w:szCs w:val="21"/>
          <w:highlight w:val="none"/>
          <w14:textFill>
            <w14:solidFill>
              <w14:schemeClr w14:val="tx1"/>
            </w14:solidFill>
          </w14:textFill>
        </w:rPr>
        <w:t xml:space="preserve">分，终止合同。</w:t>
      </w:r>
      <w:r/>
    </w:p>
    <w:p>
      <w:pPr>
        <w:ind w:firstLine="420"/>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服务范围内未履行的服务项目，按实扣除费用。</w:t>
      </w:r>
      <w:r/>
    </w:p>
    <w:p>
      <w:pPr>
        <w:pStyle w:val="811"/>
        <w:ind w:firstLine="420"/>
        <w:spacing w:line="360" w:lineRule="auto"/>
        <w:rPr>
          <w:rFonts w:asci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合同签订后，开始作业的第一个月作为磨合期，考核结果不作为作业经费拨款依据，从第二个月开始，考核结果作为拨付作业经费的依据。</w:t>
      </w:r>
      <w:r/>
    </w:p>
    <w:p>
      <w:pPr>
        <w:spacing w:before="18"/>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p>
      <w:pPr>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大桥镇镇区环卫一体化市场化项目考核评分细则</w:t>
      </w:r>
      <w:r/>
    </w:p>
    <w:tbl>
      <w:tblPr>
        <w:tblStyle w:val="81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260"/>
        <w:gridCol w:w="915"/>
        <w:gridCol w:w="6347"/>
      </w:tblGrid>
      <w:tr>
        <w:trPr>
          <w:trHeight w:val="480"/>
        </w:trPr>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考核内容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center"/>
              <w:widowControl/>
              <w:rPr>
                <w:rFonts w:hint="eastAsia" w:ascii="宋体" w:hAnsi="宋体" w:eastAsia="宋体" w:cs="宋体"/>
                <w:b/>
                <w:bCs/>
                <w:color w:val="000000" w:themeColor="text1"/>
                <w:sz w:val="22"/>
                <w:highlight w:val="none"/>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 xml:space="preserve">扣分标准</w:t>
            </w:r>
            <w:r/>
          </w:p>
        </w:tc>
      </w:tr>
      <w:tr>
        <w:trPr>
          <w:trHeight w:val="869"/>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道路清扫管理</w:t>
            </w:r>
            <w:r>
              <w:rPr>
                <w:rFonts w:hint="eastAsia" w:ascii="宋体" w:hAnsi="宋体" w:eastAsia="宋体" w:cs="宋体"/>
                <w:b/>
                <w:bCs/>
                <w:color w:val="000000" w:themeColor="text1"/>
                <w:sz w:val="24"/>
                <w:szCs w:val="24"/>
                <w:highlight w:val="none"/>
                <w14:textFill>
                  <w14:solidFill>
                    <w14:schemeClr w14:val="tx1"/>
                  </w14:solidFill>
                </w14:textFill>
              </w:rPr>
              <w:br/>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1、无特殊情况，未按规定时间完成普扫的，1 次扣 0.5-2 分。</w:t>
            </w:r>
            <w:r/>
          </w:p>
        </w:tc>
      </w:tr>
      <w:tr>
        <w:trPr>
          <w:trHeight w:val="71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2、清扫不到位，视情况每个点位扣 0.5-2 分。</w:t>
            </w:r>
            <w:r/>
          </w:p>
        </w:tc>
      </w:tr>
      <w:tr>
        <w:trPr>
          <w:trHeight w:val="764"/>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3、三、四级道路不按规定实施机械化作业的，每次扣 0.5 分。</w:t>
            </w:r>
            <w:r/>
          </w:p>
        </w:tc>
      </w:tr>
      <w:tr>
        <w:trPr>
          <w:trHeight w:val="136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1、道路、绿化带、排水槽、人行道、树穴、公交站台、公共自行车停放点、空调机内侧、窨井盖等地点存在积存的烟蒂、果皮、纸屑、枯树枝以及其他漂浮物，视情况扣 0.5-3 分。</w:t>
            </w:r>
            <w:r/>
          </w:p>
        </w:tc>
      </w:tr>
      <w:tr>
        <w:trPr>
          <w:trHeight w:val="96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2、道路有堆积垃圾（含积存性的大件垃圾、建筑垃圾、垃圾池周边秸䄭以及农业废弃物），每处扣 0.5-3 分。</w:t>
            </w:r>
            <w:r/>
          </w:p>
        </w:tc>
      </w:tr>
      <w:tr>
        <w:trPr>
          <w:trHeight w:val="62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3、路面、路牙有积灰，不见本色；积水未及时推扫，每点位扣0.2 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4、不按作业规定冲洗道路，每处扣 0.2 分；每日晒水频次达不到要求，每次扣1分。</w:t>
            </w:r>
            <w:r/>
          </w:p>
        </w:tc>
      </w:tr>
      <w:tr>
        <w:trPr>
          <w:trHeight w:val="62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5、路面杂草未清，每处扣 0.1 分。</w:t>
            </w:r>
            <w:r/>
          </w:p>
        </w:tc>
      </w:tr>
      <w:tr>
        <w:trPr>
          <w:trHeight w:val="62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6、路面、窨井盖油污，每处扣 0.2 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果壳箱、垃圾桶管理（5 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1、道路果壳箱清理不到位，外观不整洁，设施破损维修不及时，每处扣 0.2 分。</w:t>
            </w:r>
            <w:r/>
          </w:p>
        </w:tc>
      </w:tr>
      <w:tr>
        <w:trPr>
          <w:trHeight w:val="108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2、垃圾桶擦拭每日不少于1次，清洗每周不少于1次，未达要求每处扣0.1分；垃圾桶损坏未及时更换，缺失未及时补齐，每处扣0.1分。</w:t>
            </w:r>
            <w:r/>
          </w:p>
        </w:tc>
      </w:tr>
      <w:tr>
        <w:trPr>
          <w:trHeight w:val="835"/>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垃圾收集</w:t>
            </w:r>
            <w:r>
              <w:rPr>
                <w:rFonts w:hint="eastAsia" w:ascii="宋体" w:hAnsi="宋体" w:eastAsia="宋体" w:cs="宋体"/>
                <w:b/>
                <w:bCs/>
                <w:color w:val="000000" w:themeColor="text1"/>
                <w:sz w:val="24"/>
                <w:szCs w:val="24"/>
                <w:highlight w:val="none"/>
                <w14:textFill>
                  <w14:solidFill>
                    <w14:schemeClr w14:val="tx1"/>
                  </w14:solidFill>
                </w14:textFill>
              </w:rPr>
              <w:br/>
            </w:r>
            <w:r>
              <w:rPr>
                <w:rFonts w:hint="eastAsia" w:ascii="宋体" w:hAnsi="宋体" w:eastAsia="宋体" w:cs="宋体"/>
                <w:b/>
                <w:bCs/>
                <w:color w:val="000000" w:themeColor="text1"/>
                <w:sz w:val="24"/>
                <w:szCs w:val="24"/>
                <w:highlight w:val="none"/>
                <w14:textFill>
                  <w14:solidFill>
                    <w14:schemeClr w14:val="tx1"/>
                  </w14:solidFill>
                </w14:textFill>
              </w:rPr>
              <w:t xml:space="preserve">管理</w:t>
            </w:r>
            <w:r>
              <w:rPr>
                <w:rFonts w:hint="eastAsia" w:ascii="宋体" w:hAnsi="宋体" w:eastAsia="宋体" w:cs="宋体"/>
                <w:b/>
                <w:bCs/>
                <w:color w:val="000000" w:themeColor="text1"/>
                <w:sz w:val="24"/>
                <w:szCs w:val="24"/>
                <w:highlight w:val="none"/>
                <w14:textFill>
                  <w14:solidFill>
                    <w14:schemeClr w14:val="tx1"/>
                  </w14:solidFill>
                </w14:textFill>
              </w:rPr>
              <w:br/>
            </w:r>
            <w:r>
              <w:rPr>
                <w:rFonts w:hint="eastAsia" w:ascii="宋体" w:hAnsi="宋体" w:eastAsia="宋体" w:cs="宋体"/>
                <w:b/>
                <w:bCs/>
                <w:color w:val="000000" w:themeColor="text1"/>
                <w:sz w:val="24"/>
                <w:szCs w:val="24"/>
                <w:highlight w:val="none"/>
                <w14:textFill>
                  <w14:solidFill>
                    <w14:schemeClr w14:val="tx1"/>
                  </w14:solidFill>
                </w14:textFill>
              </w:rPr>
              <w:t xml:space="preserve">（18 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1、垃圾未日产日清，收集频次少于每日2次，每次扣 5 分。</w:t>
            </w:r>
            <w:r/>
          </w:p>
        </w:tc>
      </w:tr>
      <w:tr>
        <w:trPr>
          <w:trHeight w:val="69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2、垃圾漏收，每次扣 0.5 分。</w:t>
            </w:r>
            <w:r/>
          </w:p>
        </w:tc>
      </w:tr>
      <w:tr>
        <w:trPr>
          <w:trHeight w:val="764"/>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3、垃圾收集、运输抛洒滴漏，垃圾容器及周边 2 米内不洁，每次扣 1 分。</w:t>
            </w:r>
            <w:r/>
          </w:p>
        </w:tc>
      </w:tr>
      <w:tr>
        <w:trPr>
          <w:trHeight w:val="775"/>
        </w:trPr>
        <w:tc>
          <w:tcPr>
            <w:tcBorders>
              <w:top w:val="single" w:color="000000" w:sz="4" w:space="0"/>
              <w:left w:val="single" w:color="000000" w:sz="4" w:space="0"/>
              <w:bottom w:val="single" w:color="auto"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3分</w:t>
            </w:r>
            <w:r/>
          </w:p>
        </w:tc>
        <w:tc>
          <w:tcPr>
            <w:tcBorders>
              <w:top w:val="single" w:color="000000" w:sz="4" w:space="0"/>
              <w:left w:val="single" w:color="000000" w:sz="4" w:space="0"/>
              <w:bottom w:val="single" w:color="auto"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4、蝇蚊滋生季节，垃圾点未喷洒消毒，每处扣 0.2 分。</w:t>
            </w:r>
            <w:r/>
          </w:p>
        </w:tc>
      </w:tr>
      <w:tr>
        <w:trPr>
          <w:trHeight w:val="750"/>
        </w:trPr>
        <w:tc>
          <w:tcPr>
            <w:tcBorders>
              <w:top w:val="single" w:color="auto" w:sz="4" w:space="0"/>
              <w:left w:val="single" w:color="auto" w:sz="4" w:space="0"/>
              <w:bottom w:val="single" w:color="auto" w:sz="4" w:space="0"/>
              <w:right w:val="single" w:color="auto"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垃圾运输管理</w:t>
            </w:r>
            <w:r>
              <w:rPr>
                <w:rFonts w:hint="eastAsia" w:ascii="宋体" w:hAnsi="宋体" w:eastAsia="宋体" w:cs="宋体"/>
                <w:b/>
                <w:bCs/>
                <w:color w:val="000000" w:themeColor="text1"/>
                <w:sz w:val="24"/>
                <w:szCs w:val="24"/>
                <w:highlight w:val="none"/>
                <w14:textFill>
                  <w14:solidFill>
                    <w14:schemeClr w14:val="tx1"/>
                  </w14:solidFill>
                </w14:textFill>
              </w:rPr>
              <w:br/>
            </w:r>
            <w:r>
              <w:rPr>
                <w:rFonts w:hint="eastAsia" w:ascii="宋体" w:hAnsi="宋体" w:eastAsia="宋体" w:cs="宋体"/>
                <w:b/>
                <w:bCs/>
                <w:color w:val="000000" w:themeColor="text1"/>
                <w:sz w:val="24"/>
                <w:szCs w:val="24"/>
                <w:highlight w:val="none"/>
                <w14:textFill>
                  <w14:solidFill>
                    <w14:schemeClr w14:val="tx1"/>
                  </w14:solidFill>
                </w14:textFill>
              </w:rPr>
              <w:t xml:space="preserve">（12 分）</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3723" w:type="pct"/>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1、垃圾运输车辆车容不洁、车体损坏、标志不清、垃圾拖挂、抛洒滴漏的，每次扣 1 分。</w:t>
            </w:r>
            <w:r/>
          </w:p>
        </w:tc>
      </w:tr>
      <w:tr>
        <w:trPr>
          <w:trHeight w:val="750"/>
        </w:trPr>
        <w:tc>
          <w:tcPr>
            <w:tcBorders>
              <w:top w:val="single" w:color="auto" w:sz="4" w:space="0"/>
              <w:left w:val="single" w:color="auto"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auto"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2、垃圾运输车辆必须车况良好，仪表、车灯、倒车喇叭等必须工作正常，否则扣 0.5-1 分；驾驶员必须持证上岗，否则每次扣 1 分。</w:t>
            </w:r>
            <w:r/>
          </w:p>
        </w:tc>
      </w:tr>
      <w:tr>
        <w:trPr>
          <w:trHeight w:val="800"/>
        </w:trPr>
        <w:tc>
          <w:tcPr>
            <w:tcBorders>
              <w:top w:val="none" w:color="000000" w:sz="4" w:space="0"/>
              <w:left w:val="single" w:color="auto"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3、车辆装卸垃圾不及时，导致垃圾滞留的，每次扣 0.2 分；乱倒垃圾的，每次扣 1 分；未设置醒目安全标志的，每次扣 0.1 分；超速行驶、逆向行驶、闯红灯等违反交通法规的行为，每次扣0.5-2 分。</w:t>
            </w:r>
            <w:r/>
          </w:p>
        </w:tc>
      </w:tr>
      <w:tr>
        <w:trPr>
          <w:trHeight w:val="375"/>
        </w:trPr>
        <w:tc>
          <w:tcPr>
            <w:tcBorders>
              <w:top w:val="none" w:color="000000" w:sz="4" w:space="0"/>
              <w:left w:val="single" w:color="auto"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4、车辆记载及监控设备必须开启，否则每车每次扣0.5分。</w:t>
            </w:r>
            <w:r/>
          </w:p>
        </w:tc>
      </w:tr>
      <w:tr>
        <w:trPr>
          <w:trHeight w:val="375"/>
        </w:trPr>
        <w:tc>
          <w:tcPr>
            <w:tcBorders>
              <w:top w:val="none" w:color="000000" w:sz="4" w:space="0"/>
              <w:left w:val="single" w:color="auto"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5、作业车辆不满足规定数量的，每缺一辆扣 1 分。</w:t>
            </w:r>
            <w:r/>
          </w:p>
        </w:tc>
      </w:tr>
      <w:tr>
        <w:trPr>
          <w:trHeight w:val="360"/>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乱涂画、乱张贴管理（含小广告）</w:t>
            </w:r>
            <w:r>
              <w:rPr>
                <w:rFonts w:hint="eastAsia" w:ascii="宋体" w:hAnsi="宋体" w:eastAsia="宋体" w:cs="宋体"/>
                <w:b/>
                <w:bCs/>
                <w:color w:val="000000" w:themeColor="text1"/>
                <w:sz w:val="24"/>
                <w:szCs w:val="24"/>
                <w:highlight w:val="none"/>
                <w14:textFill>
                  <w14:solidFill>
                    <w14:schemeClr w14:val="tx1"/>
                  </w14:solidFill>
                </w14:textFill>
              </w:rPr>
              <w:br/>
            </w:r>
            <w:r>
              <w:rPr>
                <w:rFonts w:hint="eastAsia" w:ascii="宋体" w:hAnsi="宋体" w:eastAsia="宋体" w:cs="宋体"/>
                <w:b/>
                <w:bCs/>
                <w:color w:val="000000" w:themeColor="text1"/>
                <w:sz w:val="24"/>
                <w:szCs w:val="24"/>
                <w:highlight w:val="none"/>
                <w14:textFill>
                  <w14:solidFill>
                    <w14:schemeClr w14:val="tx1"/>
                  </w14:solidFill>
                </w14:textFill>
              </w:rPr>
              <w:t xml:space="preserve">（5 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1、路面有乱张贴、乱涂画，24 小时未清理的，每处扣 0.1 分。</w:t>
            </w:r>
            <w:r/>
          </w:p>
        </w:tc>
      </w:tr>
      <w:tr>
        <w:trPr>
          <w:trHeight w:val="22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2、立面单一物体上有乱张贴、乱涂画，24 小时未清理的，每处扣 0.1 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备注：立面单一物体指的是单一的灯柱、桥墩、树干、报刊亭、工具房、雕塑、各类指示牌、公交站台、候车亭、广告栏、卷闸门、玻璃窗等。立面单一物体的乱张贴、乱涂画，24 小时内，不论数量多少均按 1 处记录。</w:t>
            </w:r>
            <w:r/>
          </w:p>
        </w:tc>
      </w:tr>
      <w:tr>
        <w:trPr>
          <w:trHeight w:val="204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3、墙体、防护栏上有乱张贴、乱涂画，24 小时内未清理的，每处扣0.1 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备注：在连续墙体及防护栏上乱张贴、乱涂画的，以 1 米未单位记录，1 米不论数量均按一处记录；超过 1 米的，每 1 米按一处记录。</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公共厕所管理</w:t>
            </w:r>
            <w:r>
              <w:rPr>
                <w:rFonts w:hint="eastAsia" w:ascii="宋体" w:hAnsi="宋体" w:eastAsia="宋体" w:cs="宋体"/>
                <w:b/>
                <w:bCs/>
                <w:color w:val="000000" w:themeColor="text1"/>
                <w:sz w:val="24"/>
                <w:szCs w:val="24"/>
                <w:highlight w:val="none"/>
                <w14:textFill>
                  <w14:solidFill>
                    <w14:schemeClr w14:val="tx1"/>
                  </w14:solidFill>
                </w14:textFill>
              </w:rPr>
              <w:br/>
            </w:r>
            <w:r>
              <w:rPr>
                <w:rFonts w:hint="eastAsia" w:ascii="宋体" w:hAnsi="宋体" w:eastAsia="宋体" w:cs="宋体"/>
                <w:b/>
                <w:bCs/>
                <w:color w:val="000000" w:themeColor="text1"/>
                <w:sz w:val="24"/>
                <w:szCs w:val="24"/>
                <w:highlight w:val="none"/>
                <w14:textFill>
                  <w14:solidFill>
                    <w14:schemeClr w14:val="tx1"/>
                  </w14:solidFill>
                </w14:textFill>
              </w:rPr>
              <w:t xml:space="preserve">（15 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1、公厕对外开放，管理人员在岗在位，按照岗位责任制保洁管理，违反一次扣 0.2 分。</w:t>
            </w:r>
            <w:r/>
          </w:p>
        </w:tc>
      </w:tr>
      <w:tr>
        <w:trPr>
          <w:trHeight w:val="88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、各类标牌、宣传牌、标志齐全，缺失的，每处扣</w:t>
            </w:r>
            <w:r>
              <w:rPr>
                <w:rFonts w:ascii="仿宋" w:hAnsi="仿宋" w:eastAsia="仿宋" w:cs="仿宋"/>
                <w:color w:val="000000" w:themeColor="text1"/>
                <w:sz w:val="24"/>
                <w:szCs w:val="24"/>
                <w:highlight w:val="none"/>
                <w14:textFill>
                  <w14:solidFill>
                    <w14:schemeClr w14:val="tx1"/>
                  </w14:solidFill>
                </w14:textFill>
              </w:rPr>
              <w:t xml:space="preserve"> 0.2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112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、各类卫生设施、灯具、挂物钩、冲刷设施、内外墙壁、天花板等完好，灭鼠除臭设施使用正常，如有损坏，</w:t>
            </w:r>
            <w:r>
              <w:rPr>
                <w:rFonts w:ascii="仿宋" w:hAnsi="仿宋" w:eastAsia="仿宋" w:cs="仿宋"/>
                <w:color w:val="000000" w:themeColor="text1"/>
                <w:sz w:val="24"/>
                <w:szCs w:val="24"/>
                <w:highlight w:val="none"/>
                <w14:textFill>
                  <w14:solidFill>
                    <w14:schemeClr w14:val="tx1"/>
                  </w14:solidFill>
                </w14:textFill>
              </w:rPr>
              <w:t xml:space="preserve">48 </w:t>
            </w:r>
            <w:r>
              <w:rPr>
                <w:rFonts w:hint="eastAsia" w:ascii="仿宋" w:hAnsi="仿宋" w:eastAsia="仿宋" w:cs="仿宋"/>
                <w:color w:val="000000" w:themeColor="text1"/>
                <w:sz w:val="24"/>
                <w:szCs w:val="24"/>
                <w:highlight w:val="none"/>
                <w14:textFill>
                  <w14:solidFill>
                    <w14:schemeClr w14:val="tx1"/>
                  </w14:solidFill>
                </w14:textFill>
              </w:rPr>
              <w:t xml:space="preserve">小时内未整改到位的，每次扣</w:t>
            </w:r>
            <w:r>
              <w:rPr>
                <w:rFonts w:ascii="仿宋" w:hAnsi="仿宋" w:eastAsia="仿宋" w:cs="仿宋"/>
                <w:color w:val="000000" w:themeColor="text1"/>
                <w:sz w:val="24"/>
                <w:szCs w:val="24"/>
                <w:highlight w:val="none"/>
                <w14:textFill>
                  <w14:solidFill>
                    <w14:schemeClr w14:val="tx1"/>
                  </w14:solidFill>
                </w14:textFill>
              </w:rPr>
              <w:t xml:space="preserve"> 1 </w:t>
            </w:r>
            <w:r>
              <w:rPr>
                <w:rFonts w:hint="eastAsia" w:ascii="仿宋" w:hAnsi="仿宋" w:eastAsia="仿宋" w:cs="仿宋"/>
                <w:color w:val="000000" w:themeColor="text1"/>
                <w:sz w:val="24"/>
                <w:szCs w:val="24"/>
                <w:highlight w:val="none"/>
                <w14:textFill>
                  <w14:solidFill>
                    <w14:schemeClr w14:val="tx1"/>
                  </w14:solidFill>
                </w14:textFill>
              </w:rPr>
              <w:t xml:space="preserve">分。第三卫生间、无障碍通道必须正常使用，否则每次扣</w:t>
            </w:r>
            <w:r>
              <w:rPr>
                <w:rFonts w:ascii="仿宋" w:hAnsi="仿宋" w:eastAsia="仿宋" w:cs="仿宋"/>
                <w:color w:val="000000" w:themeColor="text1"/>
                <w:sz w:val="24"/>
                <w:szCs w:val="24"/>
                <w:highlight w:val="none"/>
                <w14:textFill>
                  <w14:solidFill>
                    <w14:schemeClr w14:val="tx1"/>
                  </w14:solidFill>
                </w14:textFill>
              </w:rPr>
              <w:t xml:space="preserve"> 0.2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112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、公厕保洁标准达到“十无二净”，无尿碱、无粪垢、无杂物、无蝇蛆、无蜘蛛网、无广告纸、地面无积水、坑槽无积粪、天花墙壁无灰尘、无恶臭，室内设施洁净，室外四周一米干净，未达标，每处扣</w:t>
            </w:r>
            <w:r>
              <w:rPr>
                <w:rFonts w:ascii="仿宋" w:hAnsi="仿宋" w:eastAsia="仿宋" w:cs="仿宋"/>
                <w:color w:val="000000" w:themeColor="text1"/>
                <w:sz w:val="24"/>
                <w:szCs w:val="24"/>
                <w:highlight w:val="none"/>
                <w14:textFill>
                  <w14:solidFill>
                    <w14:schemeClr w14:val="tx1"/>
                  </w14:solidFill>
                </w14:textFill>
              </w:rPr>
              <w:t xml:space="preserve"> 0.2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37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、公厕周边严禁乱搭乱建，工具间严禁堆放杂物，违反每次扣</w:t>
            </w:r>
            <w:r>
              <w:rPr>
                <w:rFonts w:ascii="仿宋" w:hAnsi="仿宋" w:eastAsia="仿宋" w:cs="仿宋"/>
                <w:color w:val="000000" w:themeColor="text1"/>
                <w:sz w:val="24"/>
                <w:szCs w:val="24"/>
                <w:highlight w:val="none"/>
                <w14:textFill>
                  <w14:solidFill>
                    <w14:schemeClr w14:val="tx1"/>
                  </w14:solidFill>
                </w14:textFill>
              </w:rPr>
              <w:t xml:space="preserve"> 0.5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1125"/>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垃圾中转站管理</w:t>
            </w:r>
            <w:r>
              <w:rPr>
                <w:rFonts w:ascii="仿宋" w:hAnsi="仿宋" w:eastAsia="仿宋" w:cs="仿宋"/>
                <w:b/>
                <w:bCs/>
                <w:color w:val="000000" w:themeColor="text1"/>
                <w:sz w:val="24"/>
                <w:szCs w:val="24"/>
                <w:highlight w:val="none"/>
                <w14:textFill>
                  <w14:solidFill>
                    <w14:schemeClr w14:val="tx1"/>
                  </w14:solidFill>
                </w14:textFill>
              </w:rPr>
              <w:br/>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ascii="仿宋" w:hAnsi="仿宋" w:eastAsia="仿宋" w:cs="仿宋"/>
                <w:b/>
                <w:bCs/>
                <w:color w:val="000000" w:themeColor="text1"/>
                <w:sz w:val="24"/>
                <w:szCs w:val="24"/>
                <w:highlight w:val="none"/>
                <w14:textFill>
                  <w14:solidFill>
                    <w14:schemeClr w14:val="tx1"/>
                  </w14:solidFill>
                </w14:textFill>
              </w:rPr>
              <w:t xml:space="preserve">5 </w:t>
            </w:r>
            <w:r>
              <w:rPr>
                <w:rFonts w:hint="eastAsia" w:ascii="仿宋" w:hAnsi="仿宋" w:eastAsia="仿宋" w:cs="仿宋"/>
                <w:b/>
                <w:bCs/>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、中转站必须专人管理，设施标志齐备，建立健全各类管理制度和台账记录，设置消防设施和灭鼠器具，违反每项扣</w:t>
            </w:r>
            <w:r>
              <w:rPr>
                <w:rFonts w:ascii="仿宋" w:hAnsi="仿宋" w:eastAsia="仿宋" w:cs="仿宋"/>
                <w:color w:val="000000" w:themeColor="text1"/>
                <w:sz w:val="24"/>
                <w:szCs w:val="24"/>
                <w:highlight w:val="none"/>
                <w14:textFill>
                  <w14:solidFill>
                    <w14:schemeClr w14:val="tx1"/>
                  </w14:solidFill>
                </w14:textFill>
              </w:rPr>
              <w:t xml:space="preserve"> 0.2 </w:t>
            </w:r>
            <w:r>
              <w:rPr>
                <w:rFonts w:hint="eastAsia" w:ascii="仿宋" w:hAnsi="仿宋" w:eastAsia="仿宋" w:cs="仿宋"/>
                <w:color w:val="000000" w:themeColor="text1"/>
                <w:sz w:val="24"/>
                <w:szCs w:val="24"/>
                <w:highlight w:val="none"/>
                <w14:textFill>
                  <w14:solidFill>
                    <w14:schemeClr w14:val="tx1"/>
                  </w14:solidFill>
                </w14:textFill>
              </w:rPr>
              <w:t xml:space="preserve">分；站外车辆必须有序停放、等待，由于乱停乱放导致周边道路拥堵的，每次扣</w:t>
            </w:r>
            <w:r>
              <w:rPr>
                <w:rFonts w:ascii="仿宋" w:hAnsi="仿宋" w:eastAsia="仿宋" w:cs="仿宋"/>
                <w:color w:val="000000" w:themeColor="text1"/>
                <w:sz w:val="24"/>
                <w:szCs w:val="24"/>
                <w:highlight w:val="none"/>
                <w14:textFill>
                  <w14:solidFill>
                    <w14:schemeClr w14:val="tx1"/>
                  </w14:solidFill>
                </w14:textFill>
              </w:rPr>
              <w:t xml:space="preserve"> 0.2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126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、中转站设施损坏不及时维修，设备操作不规范，每次扣</w:t>
            </w:r>
            <w:r>
              <w:rPr>
                <w:rFonts w:ascii="仿宋" w:hAnsi="仿宋" w:eastAsia="仿宋" w:cs="仿宋"/>
                <w:color w:val="000000" w:themeColor="text1"/>
                <w:sz w:val="24"/>
                <w:szCs w:val="24"/>
                <w:highlight w:val="none"/>
                <w14:textFill>
                  <w14:solidFill>
                    <w14:schemeClr w14:val="tx1"/>
                  </w14:solidFill>
                </w14:textFill>
              </w:rPr>
              <w:t xml:space="preserve"> 0.2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112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、中转站内部及周边环境卫生整洁，无垃圾滞留，无杂物堆积，无蛛网，无陈旧性灰尘，无乱搭乱建，废气废水排放符合环保标准，灭蝇除臭工作规范有序，废水排放设施、通道畅通，违反每项扣</w:t>
            </w:r>
            <w:r>
              <w:rPr>
                <w:rFonts w:ascii="仿宋" w:hAnsi="仿宋" w:eastAsia="仿宋" w:cs="仿宋"/>
                <w:color w:val="000000" w:themeColor="text1"/>
                <w:sz w:val="24"/>
                <w:szCs w:val="24"/>
                <w:highlight w:val="none"/>
                <w14:textFill>
                  <w14:solidFill>
                    <w14:schemeClr w14:val="tx1"/>
                  </w14:solidFill>
                </w14:textFill>
              </w:rPr>
              <w:t xml:space="preserve"> 0.5</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122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、中转站不得分拣废品，保证垃圾日产日清，违反每次扣</w:t>
            </w:r>
            <w:r>
              <w:rPr>
                <w:rFonts w:ascii="仿宋" w:hAnsi="仿宋" w:eastAsia="仿宋" w:cs="仿宋"/>
                <w:color w:val="000000" w:themeColor="text1"/>
                <w:sz w:val="24"/>
                <w:szCs w:val="24"/>
                <w:highlight w:val="none"/>
                <w14:textFill>
                  <w14:solidFill>
                    <w14:schemeClr w14:val="tx1"/>
                  </w14:solidFill>
                </w14:textFill>
              </w:rPr>
              <w:t xml:space="preserve"> 0.5</w:t>
            </w:r>
            <w:r>
              <w:rPr>
                <w:rFonts w:hint="eastAsia" w:ascii="仿宋" w:hAnsi="仿宋" w:eastAsia="仿宋" w:cs="仿宋"/>
                <w:color w:val="000000" w:themeColor="text1"/>
                <w:sz w:val="24"/>
                <w:szCs w:val="24"/>
                <w:highlight w:val="none"/>
                <w14:textFill>
                  <w14:solidFill>
                    <w14:schemeClr w14:val="tx1"/>
                  </w14:solidFill>
                </w14:textFill>
              </w:rPr>
              <w:t xml:space="preserve">分；中转站用水用电必须安全规范，严禁私拉乱接，违反每次扣</w:t>
            </w:r>
            <w:r>
              <w:rPr>
                <w:rFonts w:ascii="仿宋" w:hAnsi="仿宋" w:eastAsia="仿宋" w:cs="仿宋"/>
                <w:color w:val="000000" w:themeColor="text1"/>
                <w:sz w:val="24"/>
                <w:szCs w:val="24"/>
                <w:highlight w:val="none"/>
                <w14:textFill>
                  <w14:solidFill>
                    <w14:schemeClr w14:val="tx1"/>
                  </w14:solidFill>
                </w14:textFill>
              </w:rPr>
              <w:t xml:space="preserve"> 0.5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、垃圾压缩车、压缩箱必须在站内排清污水，清洗车身，确保车身整洁，无外挂垃圾，运输途中无废水满溢，无抛洒滴漏，违反每次扣</w:t>
            </w:r>
            <w:r>
              <w:rPr>
                <w:rFonts w:ascii="仿宋" w:hAnsi="仿宋" w:eastAsia="仿宋" w:cs="仿宋"/>
                <w:color w:val="000000" w:themeColor="text1"/>
                <w:sz w:val="24"/>
                <w:szCs w:val="24"/>
                <w:highlight w:val="none"/>
                <w14:textFill>
                  <w14:solidFill>
                    <w14:schemeClr w14:val="tx1"/>
                  </w14:solidFill>
                </w14:textFill>
              </w:rPr>
              <w:t xml:space="preserve"> 0.5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375"/>
        </w:trPr>
        <w:tc>
          <w:tcPr>
            <w:tcBorders>
              <w:top w:val="single" w:color="000000" w:sz="4" w:space="0"/>
              <w:left w:val="single" w:color="000000" w:sz="4" w:space="0"/>
              <w:right w:val="single" w:color="000000" w:sz="4" w:space="0"/>
            </w:tcBorders>
            <w:tcW w:w="739" w:type="pct"/>
            <w:vAlign w:val="center"/>
            <w:vMerge w:val="restart"/>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绿化养护（</w:t>
            </w:r>
            <w:r>
              <w:rPr>
                <w:rFonts w:ascii="仿宋" w:hAnsi="仿宋" w:eastAsia="仿宋" w:cs="仿宋"/>
                <w:b/>
                <w:bCs/>
                <w:color w:val="000000" w:themeColor="text1"/>
                <w:sz w:val="24"/>
                <w:szCs w:val="24"/>
                <w:highlight w:val="none"/>
                <w14:textFill>
                  <w14:solidFill>
                    <w14:schemeClr w14:val="tx1"/>
                  </w14:solidFill>
                </w14:textFill>
              </w:rPr>
              <w:t xml:space="preserve">5</w:t>
            </w:r>
            <w:r>
              <w:rPr>
                <w:rFonts w:hint="eastAsia" w:ascii="仿宋" w:hAnsi="仿宋" w:eastAsia="仿宋" w:cs="仿宋"/>
                <w:b/>
                <w:bCs/>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、绿化养护措施得当，管理完善。草坪、花木生长季节不枯黄，修剪及时，杂草率不超过</w:t>
            </w:r>
            <w:r>
              <w:rPr>
                <w:rFonts w:ascii="仿宋" w:hAnsi="仿宋" w:eastAsia="仿宋" w:cs="仿宋"/>
                <w:color w:val="000000" w:themeColor="text1"/>
                <w:sz w:val="24"/>
                <w:szCs w:val="24"/>
                <w:highlight w:val="none"/>
                <w14:textFill>
                  <w14:solidFill>
                    <w14:schemeClr w14:val="tx1"/>
                  </w14:solidFill>
                </w14:textFill>
              </w:rPr>
              <w:t xml:space="preserve">15%</w:t>
            </w:r>
            <w:r>
              <w:rPr>
                <w:rFonts w:hint="eastAsia" w:ascii="仿宋" w:hAnsi="仿宋" w:eastAsia="仿宋" w:cs="仿宋"/>
                <w:color w:val="000000" w:themeColor="text1"/>
                <w:sz w:val="24"/>
                <w:szCs w:val="24"/>
                <w:highlight w:val="none"/>
                <w14:textFill>
                  <w14:solidFill>
                    <w14:schemeClr w14:val="tx1"/>
                  </w14:solidFill>
                </w14:textFill>
              </w:rPr>
              <w:t xml:space="preserve">，不达标扣</w:t>
            </w:r>
            <w:r>
              <w:rPr>
                <w:rFonts w:ascii="仿宋" w:hAnsi="仿宋" w:eastAsia="仿宋" w:cs="仿宋"/>
                <w:color w:val="000000" w:themeColor="text1"/>
                <w:sz w:val="24"/>
                <w:szCs w:val="24"/>
                <w:highlight w:val="none"/>
                <w14:textFill>
                  <w14:solidFill>
                    <w14:schemeClr w14:val="tx1"/>
                  </w14:solidFill>
                </w14:textFill>
              </w:rPr>
              <w:t xml:space="preserve">0.1-2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375"/>
        </w:trPr>
        <w:tc>
          <w:tcPr>
            <w:tcBorders>
              <w:left w:val="single" w:color="000000" w:sz="4" w:space="0"/>
              <w:right w:val="single" w:color="000000" w:sz="4" w:space="0"/>
            </w:tcBorders>
            <w:tcW w:w="739" w:type="pct"/>
            <w:vAlign w:val="center"/>
            <w:vMerge w:val="continue"/>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、病虫害防治及时，健康叶片保存率不低于</w:t>
            </w:r>
            <w:r>
              <w:rPr>
                <w:rFonts w:ascii="仿宋" w:hAnsi="仿宋" w:eastAsia="仿宋" w:cs="仿宋"/>
                <w:color w:val="000000" w:themeColor="text1"/>
                <w:sz w:val="24"/>
                <w:szCs w:val="24"/>
                <w:highlight w:val="none"/>
                <w14:textFill>
                  <w14:solidFill>
                    <w14:schemeClr w14:val="tx1"/>
                  </w14:solidFill>
                </w14:textFill>
              </w:rPr>
              <w:t xml:space="preserve">90%</w:t>
            </w:r>
            <w:r>
              <w:rPr>
                <w:rFonts w:hint="eastAsia" w:ascii="仿宋" w:hAnsi="仿宋" w:eastAsia="仿宋" w:cs="仿宋"/>
                <w:color w:val="000000" w:themeColor="text1"/>
                <w:sz w:val="24"/>
                <w:szCs w:val="24"/>
                <w:highlight w:val="none"/>
                <w14:textFill>
                  <w14:solidFill>
                    <w14:schemeClr w14:val="tx1"/>
                  </w14:solidFill>
                </w14:textFill>
              </w:rPr>
              <w:t xml:space="preserve">，否则扣</w:t>
            </w:r>
            <w:r>
              <w:rPr>
                <w:rFonts w:ascii="仿宋" w:hAnsi="仿宋" w:eastAsia="仿宋" w:cs="仿宋"/>
                <w:color w:val="000000" w:themeColor="text1"/>
                <w:sz w:val="24"/>
                <w:szCs w:val="24"/>
                <w:highlight w:val="none"/>
                <w14:textFill>
                  <w14:solidFill>
                    <w14:schemeClr w14:val="tx1"/>
                  </w14:solidFill>
                </w14:textFill>
              </w:rPr>
              <w:t xml:space="preserve">0.1-1</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375"/>
        </w:trPr>
        <w:tc>
          <w:tcPr>
            <w:tcBorders>
              <w:left w:val="single" w:color="000000" w:sz="4" w:space="0"/>
              <w:bottom w:val="single" w:color="000000" w:sz="4" w:space="0"/>
              <w:right w:val="single" w:color="000000" w:sz="4" w:space="0"/>
            </w:tcBorders>
            <w:tcW w:w="739" w:type="pct"/>
            <w:vAlign w:val="center"/>
            <w:vMerge w:val="continue"/>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、适时修剪小树林各类树木枝叶，及时清除杂草、枯枝断枝枯叶杂藤及绿化生产垃圾等，不达要求扣</w:t>
            </w:r>
            <w:r>
              <w:rPr>
                <w:rFonts w:ascii="仿宋" w:hAnsi="仿宋" w:eastAsia="仿宋" w:cs="仿宋"/>
                <w:color w:val="000000" w:themeColor="text1"/>
                <w:sz w:val="24"/>
                <w:szCs w:val="24"/>
                <w:highlight w:val="none"/>
                <w14:textFill>
                  <w14:solidFill>
                    <w14:schemeClr w14:val="tx1"/>
                  </w14:solidFill>
                </w14:textFill>
              </w:rPr>
              <w:t xml:space="preserve">0.1-2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375"/>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文明安全</w:t>
            </w:r>
            <w:r>
              <w:rPr>
                <w:rFonts w:ascii="仿宋" w:hAnsi="仿宋" w:eastAsia="仿宋" w:cs="仿宋"/>
                <w:b/>
                <w:bCs/>
                <w:color w:val="000000" w:themeColor="text1"/>
                <w:sz w:val="24"/>
                <w:szCs w:val="24"/>
                <w:highlight w:val="none"/>
                <w14:textFill>
                  <w14:solidFill>
                    <w14:schemeClr w14:val="tx1"/>
                  </w14:solidFill>
                </w14:textFill>
              </w:rPr>
              <w:br/>
            </w:r>
            <w:r>
              <w:rPr>
                <w:rFonts w:hint="eastAsia" w:ascii="仿宋" w:hAnsi="仿宋" w:eastAsia="仿宋" w:cs="仿宋"/>
                <w:b/>
                <w:bCs/>
                <w:color w:val="000000" w:themeColor="text1"/>
                <w:sz w:val="24"/>
                <w:szCs w:val="24"/>
                <w:highlight w:val="none"/>
                <w14:textFill>
                  <w14:solidFill>
                    <w14:schemeClr w14:val="tx1"/>
                  </w14:solidFill>
                </w14:textFill>
              </w:rPr>
              <w:t xml:space="preserve">管理</w:t>
            </w:r>
            <w:r>
              <w:rPr>
                <w:rFonts w:ascii="仿宋" w:hAnsi="仿宋" w:eastAsia="仿宋" w:cs="仿宋"/>
                <w:b/>
                <w:bCs/>
                <w:color w:val="000000" w:themeColor="text1"/>
                <w:sz w:val="24"/>
                <w:szCs w:val="24"/>
                <w:highlight w:val="none"/>
                <w14:textFill>
                  <w14:solidFill>
                    <w14:schemeClr w14:val="tx1"/>
                  </w14:solidFill>
                </w14:textFill>
              </w:rPr>
              <w:br/>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ascii="仿宋" w:hAnsi="仿宋" w:eastAsia="仿宋" w:cs="仿宋"/>
                <w:b/>
                <w:bCs/>
                <w:color w:val="000000" w:themeColor="text1"/>
                <w:sz w:val="24"/>
                <w:szCs w:val="24"/>
                <w:highlight w:val="none"/>
                <w14:textFill>
                  <w14:solidFill>
                    <w14:schemeClr w14:val="tx1"/>
                  </w14:solidFill>
                </w14:textFill>
              </w:rPr>
              <w:t xml:space="preserve">5</w:t>
            </w:r>
            <w:r>
              <w:rPr>
                <w:rFonts w:hint="eastAsia" w:ascii="仿宋" w:hAnsi="仿宋" w:eastAsia="仿宋" w:cs="仿宋"/>
                <w:b/>
                <w:bCs/>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、未建立安全管理制度，扣</w:t>
            </w:r>
            <w:r>
              <w:rPr>
                <w:rFonts w:ascii="仿宋" w:hAnsi="仿宋" w:eastAsia="仿宋" w:cs="仿宋"/>
                <w:color w:val="000000" w:themeColor="text1"/>
                <w:sz w:val="24"/>
                <w:szCs w:val="24"/>
                <w:highlight w:val="none"/>
                <w14:textFill>
                  <w14:solidFill>
                    <w14:schemeClr w14:val="tx1"/>
                  </w14:solidFill>
                </w14:textFill>
              </w:rPr>
              <w:t xml:space="preserve"> 1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、将垃圾扫入下水道、绿化带以及其他不应该存放垃圾的处所，每处扣</w:t>
            </w:r>
            <w:r>
              <w:rPr>
                <w:rFonts w:ascii="仿宋" w:hAnsi="仿宋" w:eastAsia="仿宋" w:cs="仿宋"/>
                <w:color w:val="000000" w:themeColor="text1"/>
                <w:sz w:val="24"/>
                <w:szCs w:val="24"/>
                <w:highlight w:val="none"/>
                <w14:textFill>
                  <w14:solidFill>
                    <w14:schemeClr w14:val="tx1"/>
                  </w14:solidFill>
                </w14:textFill>
              </w:rPr>
              <w:t xml:space="preserve"> 0.2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375"/>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、发生安全事故未能正确妥善协调处理，造成恶劣影响的，每次扣</w:t>
            </w:r>
            <w:r>
              <w:rPr>
                <w:rFonts w:ascii="仿宋" w:hAnsi="仿宋" w:eastAsia="仿宋" w:cs="仿宋"/>
                <w:color w:val="000000" w:themeColor="text1"/>
                <w:sz w:val="24"/>
                <w:szCs w:val="24"/>
                <w:highlight w:val="none"/>
                <w14:textFill>
                  <w14:solidFill>
                    <w14:schemeClr w14:val="tx1"/>
                  </w14:solidFill>
                </w14:textFill>
              </w:rPr>
              <w:t xml:space="preserve">1-5</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、清扫保洁人员及各类环卫车辆驾驶员必须礼让行人，适当控制作业速度，强行争道、妨碍行人车辆安全或其他野蛮作业行为，每次扣</w:t>
            </w:r>
            <w:r>
              <w:rPr>
                <w:rFonts w:ascii="仿宋" w:hAnsi="仿宋" w:eastAsia="仿宋" w:cs="仿宋"/>
                <w:color w:val="000000" w:themeColor="text1"/>
                <w:sz w:val="24"/>
                <w:szCs w:val="24"/>
                <w:highlight w:val="none"/>
                <w14:textFill>
                  <w14:solidFill>
                    <w14:schemeClr w14:val="tx1"/>
                  </w14:solidFill>
                </w14:textFill>
              </w:rPr>
              <w:t xml:space="preserve"> 0.2-1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widowControl/>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公众监督</w:t>
            </w:r>
            <w:r>
              <w:rPr>
                <w:rFonts w:ascii="仿宋" w:hAnsi="仿宋" w:eastAsia="仿宋" w:cs="仿宋"/>
                <w:b/>
                <w:bCs/>
                <w:color w:val="000000" w:themeColor="text1"/>
                <w:sz w:val="24"/>
                <w:szCs w:val="24"/>
                <w:highlight w:val="none"/>
                <w14:textFill>
                  <w14:solidFill>
                    <w14:schemeClr w14:val="tx1"/>
                  </w14:solidFill>
                </w14:textFill>
              </w:rPr>
              <w:br/>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ascii="仿宋" w:hAnsi="仿宋" w:eastAsia="仿宋" w:cs="仿宋"/>
                <w:b/>
                <w:bCs/>
                <w:color w:val="000000" w:themeColor="text1"/>
                <w:sz w:val="24"/>
                <w:szCs w:val="24"/>
                <w:highlight w:val="none"/>
                <w14:textFill>
                  <w14:solidFill>
                    <w14:schemeClr w14:val="tx1"/>
                  </w14:solidFill>
                </w14:textFill>
              </w:rPr>
              <w:t xml:space="preserve">5 </w:t>
            </w:r>
            <w:r>
              <w:rPr>
                <w:rFonts w:hint="eastAsia" w:ascii="仿宋" w:hAnsi="仿宋" w:eastAsia="仿宋" w:cs="仿宋"/>
                <w:b/>
                <w:bCs/>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、由于工作不到位，被新闻媒体曝光，经核实，每宗扣</w:t>
            </w:r>
            <w:r>
              <w:rPr>
                <w:rFonts w:ascii="仿宋" w:hAnsi="仿宋" w:eastAsia="仿宋" w:cs="仿宋"/>
                <w:color w:val="000000" w:themeColor="text1"/>
                <w:sz w:val="24"/>
                <w:szCs w:val="24"/>
                <w:highlight w:val="none"/>
                <w14:textFill>
                  <w14:solidFill>
                    <w14:schemeClr w14:val="tx1"/>
                  </w14:solidFill>
                </w14:textFill>
              </w:rPr>
              <w:t xml:space="preserve">1 </w:t>
            </w:r>
            <w:r>
              <w:rPr>
                <w:rFonts w:hint="eastAsia" w:ascii="仿宋" w:hAnsi="仿宋" w:eastAsia="仿宋" w:cs="仿宋"/>
                <w:color w:val="000000" w:themeColor="text1"/>
                <w:sz w:val="24"/>
                <w:szCs w:val="24"/>
                <w:highlight w:val="none"/>
                <w14:textFill>
                  <w14:solidFill>
                    <w14:schemeClr w14:val="tx1"/>
                  </w14:solidFill>
                </w14:textFill>
              </w:rPr>
              <w:t xml:space="preserve">分。同一事件（问题），出现</w:t>
            </w:r>
            <w:r>
              <w:rPr>
                <w:rFonts w:ascii="仿宋" w:hAnsi="仿宋" w:eastAsia="仿宋" w:cs="仿宋"/>
                <w:color w:val="000000" w:themeColor="text1"/>
                <w:sz w:val="24"/>
                <w:szCs w:val="24"/>
                <w:highlight w:val="none"/>
                <w14:textFill>
                  <w14:solidFill>
                    <w14:schemeClr w14:val="tx1"/>
                  </w14:solidFill>
                </w14:textFill>
              </w:rPr>
              <w:t xml:space="preserve"> 3 </w:t>
            </w:r>
            <w:r>
              <w:rPr>
                <w:rFonts w:hint="eastAsia" w:ascii="仿宋" w:hAnsi="仿宋" w:eastAsia="仿宋" w:cs="仿宋"/>
                <w:color w:val="000000" w:themeColor="text1"/>
                <w:sz w:val="24"/>
                <w:szCs w:val="24"/>
                <w:highlight w:val="none"/>
                <w14:textFill>
                  <w14:solidFill>
                    <w14:schemeClr w14:val="tx1"/>
                  </w14:solidFill>
                </w14:textFill>
              </w:rPr>
              <w:t xml:space="preserve">次以上投诉，依然不整改或整改不到位的，每宗扣</w:t>
            </w:r>
            <w:r>
              <w:rPr>
                <w:rFonts w:ascii="仿宋" w:hAnsi="仿宋" w:eastAsia="仿宋" w:cs="仿宋"/>
                <w:color w:val="000000" w:themeColor="text1"/>
                <w:sz w:val="24"/>
                <w:szCs w:val="24"/>
                <w:highlight w:val="none"/>
                <w14:textFill>
                  <w14:solidFill>
                    <w14:schemeClr w14:val="tx1"/>
                  </w14:solidFill>
                </w14:textFill>
              </w:rPr>
              <w:t xml:space="preserve"> 5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、发生服务态度和工作责任投诉，每宗扣</w:t>
            </w:r>
            <w:r>
              <w:rPr>
                <w:rFonts w:ascii="仿宋" w:hAnsi="仿宋" w:eastAsia="仿宋" w:cs="仿宋"/>
                <w:color w:val="000000" w:themeColor="text1"/>
                <w:sz w:val="24"/>
                <w:szCs w:val="24"/>
                <w:highlight w:val="none"/>
                <w14:textFill>
                  <w14:solidFill>
                    <w14:schemeClr w14:val="tx1"/>
                  </w14:solidFill>
                </w14:textFill>
              </w:rPr>
              <w:t xml:space="preserve"> 2</w:t>
            </w:r>
            <w:r>
              <w:rPr>
                <w:rFonts w:hint="eastAsia" w:ascii="仿宋" w:hAnsi="仿宋" w:eastAsia="仿宋" w:cs="仿宋"/>
                <w:color w:val="000000" w:themeColor="text1"/>
                <w:sz w:val="24"/>
                <w:szCs w:val="24"/>
                <w:highlight w:val="none"/>
                <w14:textFill>
                  <w14:solidFill>
                    <w14:schemeClr w14:val="tx1"/>
                  </w14:solidFill>
                </w14:textFill>
              </w:rPr>
              <w:t xml:space="preserve">分；同一事件（问题），出现</w:t>
            </w:r>
            <w:r>
              <w:rPr>
                <w:rFonts w:ascii="仿宋" w:hAnsi="仿宋" w:eastAsia="仿宋" w:cs="仿宋"/>
                <w:color w:val="000000" w:themeColor="text1"/>
                <w:sz w:val="24"/>
                <w:szCs w:val="24"/>
                <w:highlight w:val="none"/>
                <w14:textFill>
                  <w14:solidFill>
                    <w14:schemeClr w14:val="tx1"/>
                  </w14:solidFill>
                </w14:textFill>
              </w:rPr>
              <w:t xml:space="preserve"> 3 </w:t>
            </w:r>
            <w:r>
              <w:rPr>
                <w:rFonts w:hint="eastAsia" w:ascii="仿宋" w:hAnsi="仿宋" w:eastAsia="仿宋" w:cs="仿宋"/>
                <w:color w:val="000000" w:themeColor="text1"/>
                <w:sz w:val="24"/>
                <w:szCs w:val="24"/>
                <w:highlight w:val="none"/>
                <w14:textFill>
                  <w14:solidFill>
                    <w14:schemeClr w14:val="tx1"/>
                  </w14:solidFill>
                </w14:textFill>
              </w:rPr>
              <w:t xml:space="preserve">次以上投诉的，每宗扣</w:t>
            </w:r>
            <w:r>
              <w:rPr>
                <w:rFonts w:ascii="仿宋" w:hAnsi="仿宋" w:eastAsia="仿宋" w:cs="仿宋"/>
                <w:color w:val="000000" w:themeColor="text1"/>
                <w:sz w:val="24"/>
                <w:szCs w:val="24"/>
                <w:highlight w:val="none"/>
                <w14:textFill>
                  <w14:solidFill>
                    <w14:schemeClr w14:val="tx1"/>
                  </w14:solidFill>
                </w14:textFill>
              </w:rPr>
              <w:t xml:space="preserve"> 5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trHeight w:val="750"/>
        </w:trPr>
        <w:tc>
          <w:tcPr>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3723" w:type="pct"/>
            <w:vAlign w:val="center"/>
            <w:textDirection w:val="lrTb"/>
            <w:noWrap w:val="false"/>
          </w:tcPr>
          <w:p>
            <w:pPr>
              <w:jc w:val="left"/>
              <w:widowControl/>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、出现市、区有关部门督办的问题，每宗扣</w:t>
            </w:r>
            <w:r>
              <w:rPr>
                <w:rFonts w:ascii="仿宋" w:hAnsi="仿宋" w:eastAsia="仿宋" w:cs="仿宋"/>
                <w:color w:val="000000" w:themeColor="text1"/>
                <w:sz w:val="24"/>
                <w:szCs w:val="24"/>
                <w:highlight w:val="none"/>
                <w14:textFill>
                  <w14:solidFill>
                    <w14:schemeClr w14:val="tx1"/>
                  </w14:solidFill>
                </w14:textFill>
              </w:rPr>
              <w:t xml:space="preserve"> 2 </w:t>
            </w:r>
            <w:r>
              <w:rPr>
                <w:rFonts w:hint="eastAsia" w:ascii="仿宋" w:hAnsi="仿宋" w:eastAsia="仿宋" w:cs="仿宋"/>
                <w:color w:val="000000" w:themeColor="text1"/>
                <w:sz w:val="24"/>
                <w:szCs w:val="24"/>
                <w:highlight w:val="none"/>
                <w14:textFill>
                  <w14:solidFill>
                    <w14:schemeClr w14:val="tx1"/>
                  </w14:solidFill>
                </w14:textFill>
              </w:rPr>
              <w:t xml:space="preserve">分，同一事件（问题），出现</w:t>
            </w:r>
            <w:r>
              <w:rPr>
                <w:rFonts w:ascii="仿宋" w:hAnsi="仿宋" w:eastAsia="仿宋" w:cs="仿宋"/>
                <w:color w:val="000000" w:themeColor="text1"/>
                <w:sz w:val="24"/>
                <w:szCs w:val="24"/>
                <w:highlight w:val="none"/>
                <w14:textFill>
                  <w14:solidFill>
                    <w14:schemeClr w14:val="tx1"/>
                  </w14:solidFill>
                </w14:textFill>
              </w:rPr>
              <w:t xml:space="preserve"> 3 </w:t>
            </w:r>
            <w:r>
              <w:rPr>
                <w:rFonts w:hint="eastAsia" w:ascii="仿宋" w:hAnsi="仿宋" w:eastAsia="仿宋" w:cs="仿宋"/>
                <w:color w:val="000000" w:themeColor="text1"/>
                <w:sz w:val="24"/>
                <w:szCs w:val="24"/>
                <w:highlight w:val="none"/>
                <w14:textFill>
                  <w14:solidFill>
                    <w14:schemeClr w14:val="tx1"/>
                  </w14:solidFill>
                </w14:textFill>
              </w:rPr>
              <w:t xml:space="preserve">次以上投诉，依然不整改或整改不到位的，每宗扣</w:t>
            </w:r>
            <w:r>
              <w:rPr>
                <w:rFonts w:ascii="仿宋" w:hAnsi="仿宋" w:eastAsia="仿宋" w:cs="仿宋"/>
                <w:color w:val="000000" w:themeColor="text1"/>
                <w:sz w:val="24"/>
                <w:szCs w:val="24"/>
                <w:highlight w:val="none"/>
                <w14:textFill>
                  <w14:solidFill>
                    <w14:schemeClr w14:val="tx1"/>
                  </w14:solidFill>
                </w14:textFill>
              </w:rPr>
              <w:t xml:space="preserve"> 5 </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bl>
    <w:p>
      <w:pPr>
        <w:jc w:val="cente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pStyle w:val="876"/>
        <w:ind w:firstLine="0"/>
        <w:rPr>
          <w:rFonts w:cs="宋体"/>
          <w:color w:val="000000" w:themeColor="text1"/>
          <w:szCs w:val="21"/>
          <w:highlight w:val="none"/>
          <w14:textFill>
            <w14:solidFill>
              <w14:schemeClr w14:val="tx1"/>
            </w14:solidFill>
          </w14:textFill>
        </w:rPr>
      </w:pPr>
      <w:r>
        <w:rPr>
          <w:rFonts w:cs="宋体"/>
          <w:color w:val="000000" w:themeColor="text1"/>
          <w:szCs w:val="21"/>
          <w:highlight w:val="none"/>
          <w14:textFill>
            <w14:solidFill>
              <w14:schemeClr w14:val="tx1"/>
            </w14:solidFill>
          </w14:textFill>
        </w:rPr>
      </w:r>
      <w:r/>
    </w:p>
    <w:p>
      <w:pPr>
        <w:spacing w:before="18"/>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b/>
          <w:bCs/>
          <w:color w:val="000000" w:themeColor="text1"/>
          <w:sz w:val="36"/>
          <w:highlight w:val="none"/>
          <w14:textFill>
            <w14:solidFill>
              <w14:schemeClr w14:val="tx1"/>
            </w14:solidFill>
          </w14:textFill>
        </w:rPr>
      </w:pPr>
      <w:r>
        <w:rPr>
          <w:rFonts w:ascii="宋体"/>
          <w:b/>
          <w:bCs/>
          <w:color w:val="000000" w:themeColor="text1"/>
          <w:sz w:val="36"/>
          <w:highlight w:val="none"/>
          <w14:textFill>
            <w14:solidFill>
              <w14:schemeClr w14:val="tx1"/>
            </w14:solidFill>
          </w14:textFill>
        </w:rPr>
        <w:br w:type="page" w:clear="all"/>
      </w:r>
      <w:r/>
    </w:p>
    <w:p>
      <w:pPr>
        <w:pStyle w:val="1037"/>
        <w:jc w:val="center"/>
        <w:spacing w:line="240" w:lineRule="auto"/>
        <w:rPr>
          <w:rFonts w:ascii="宋体"/>
          <w:color w:val="000000" w:themeColor="text1"/>
          <w:sz w:val="36"/>
          <w:szCs w:val="36"/>
          <w:highlight w:val="none"/>
          <w14:textFill>
            <w14:solidFill>
              <w14:schemeClr w14:val="tx1"/>
            </w14:solidFill>
          </w14:textFill>
        </w:rPr>
      </w:pPr>
      <w:r/>
      <w:bookmarkStart w:id="43" w:name="_Toc12420"/>
      <w:r>
        <w:rPr>
          <w:rFonts w:hint="eastAsia" w:ascii="宋体" w:hAnsi="宋体"/>
          <w:color w:val="000000" w:themeColor="text1"/>
          <w:sz w:val="36"/>
          <w:szCs w:val="36"/>
          <w:highlight w:val="none"/>
          <w14:textFill>
            <w14:solidFill>
              <w14:schemeClr w14:val="tx1"/>
            </w14:solidFill>
          </w14:textFill>
        </w:rPr>
        <w:t xml:space="preserve">第五章</w:t>
      </w:r>
      <w:r>
        <w:rPr>
          <w:rFonts w:ascii="宋体" w:hAnsi="宋体"/>
          <w:color w:val="000000" w:themeColor="text1"/>
          <w:sz w:val="36"/>
          <w:szCs w:val="36"/>
          <w:highlight w:val="none"/>
          <w14:textFill>
            <w14:solidFill>
              <w14:schemeClr w14:val="tx1"/>
            </w14:solidFill>
          </w14:textFill>
        </w:rPr>
        <w:t xml:space="preserve"> </w:t>
      </w:r>
      <w:r>
        <w:rPr>
          <w:rFonts w:hint="eastAsia" w:ascii="宋体" w:hAnsi="宋体"/>
          <w:color w:val="000000" w:themeColor="text1"/>
          <w:sz w:val="36"/>
          <w:szCs w:val="36"/>
          <w:highlight w:val="none"/>
          <w14:textFill>
            <w14:solidFill>
              <w14:schemeClr w14:val="tx1"/>
            </w14:solidFill>
          </w14:textFill>
        </w:rPr>
        <w:t xml:space="preserve">评标方法及评标标准</w:t>
      </w:r>
      <w:bookmarkEnd w:id="4"/>
      <w:r/>
      <w:bookmarkEnd w:id="43"/>
      <w:r/>
      <w:r/>
    </w:p>
    <w:p>
      <w:pPr>
        <w:pStyle w:val="1068"/>
        <w:ind w:firstLine="422"/>
        <w:rPr>
          <w:rFonts w:asci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一、评标方法</w:t>
      </w:r>
      <w:r/>
    </w:p>
    <w:p>
      <w:pPr>
        <w:pStyle w:val="1068"/>
        <w:ind w:firstLine="42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b/>
          <w:color w:val="000000" w:themeColor="text1"/>
          <w:szCs w:val="21"/>
          <w:highlight w:val="none"/>
          <w14:textFill>
            <w14:solidFill>
              <w14:schemeClr w14:val="tx1"/>
            </w14:solidFill>
          </w14:textFill>
        </w:rPr>
      </w:pPr>
      <w:r/>
      <w:bookmarkStart w:id="44" w:name="_Toc449016388"/>
      <w:r/>
      <w:bookmarkStart w:id="45" w:name="_Toc449017024"/>
      <w:r>
        <w:rPr>
          <w:rFonts w:hint="eastAsia" w:ascii="宋体" w:hAnsi="宋体"/>
          <w:b/>
          <w:color w:val="000000" w:themeColor="text1"/>
          <w:szCs w:val="21"/>
          <w:highlight w:val="none"/>
          <w14:textFill>
            <w14:solidFill>
              <w14:schemeClr w14:val="tx1"/>
            </w14:solidFill>
          </w14:textFill>
        </w:rPr>
        <w:t xml:space="preserve">二、政府采购政策功能落实</w:t>
      </w:r>
      <w:bookmarkEnd w:id="44"/>
      <w:r/>
      <w:bookmarkEnd w:id="45"/>
      <w:r/>
      <w:r/>
    </w:p>
    <w:p>
      <w:pPr>
        <w:ind w:firstLine="420"/>
        <w:spacing w:line="360" w:lineRule="auto"/>
        <w:rPr>
          <w:rFonts w:ascii="宋体"/>
          <w:b/>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68"/>
        <w:ind w:left="315" w:firstLine="105"/>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、小微型企业价格扣除</w:t>
      </w:r>
      <w:r/>
    </w:p>
    <w:p>
      <w:pPr>
        <w:pStyle w:val="1068"/>
        <w:ind w:firstLine="42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）本项目对小型和微型企业产品给予</w:t>
      </w: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的扣除价格，用扣除后的价格参与评审。</w:t>
      </w:r>
      <w:r/>
    </w:p>
    <w:p>
      <w:pPr>
        <w:pStyle w:val="1068"/>
        <w:ind w:firstLine="42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）供应商需按照采购文件的要求提供相应的《企业声明函》。</w:t>
      </w:r>
      <w:r/>
    </w:p>
    <w:p>
      <w:pPr>
        <w:pStyle w:val="1068"/>
        <w:ind w:left="420" w:firstLine="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、残疾人福利单位价格扣除</w:t>
      </w:r>
      <w:r/>
    </w:p>
    <w:p>
      <w:pPr>
        <w:pStyle w:val="1068"/>
        <w:ind w:left="315" w:firstLine="105"/>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）本项目对残疾人福利性单位视同小型、微型企业，给予</w:t>
      </w: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的价格扣除，用扣除</w:t>
      </w:r>
      <w:r/>
    </w:p>
    <w:p>
      <w:pPr>
        <w:pStyle w:val="1068"/>
        <w:ind w:firstLine="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后的价格参与评审。</w:t>
      </w:r>
      <w:r/>
    </w:p>
    <w:p>
      <w:pPr>
        <w:pStyle w:val="1068"/>
        <w:ind w:left="420" w:firstLine="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）残疾人福利单位需按照采购文件的要求提供《残疾人福利性单位声明函》。</w:t>
      </w:r>
      <w:r/>
    </w:p>
    <w:p>
      <w:pPr>
        <w:pStyle w:val="1068"/>
        <w:ind w:left="420" w:firstLine="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）残疾人福利单位标准请参照《关于促进残疾人就业政府采购政策的通知》（财库</w:t>
      </w:r>
      <w:r/>
    </w:p>
    <w:p>
      <w:pPr>
        <w:pStyle w:val="1068"/>
        <w:ind w:left="420" w:hanging="42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2017</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141</w:t>
      </w:r>
      <w:r>
        <w:rPr>
          <w:rFonts w:hint="eastAsia" w:ascii="宋体" w:hAnsi="宋体"/>
          <w:color w:val="000000" w:themeColor="text1"/>
          <w:sz w:val="21"/>
          <w:szCs w:val="21"/>
          <w:highlight w:val="none"/>
          <w14:textFill>
            <w14:solidFill>
              <w14:schemeClr w14:val="tx1"/>
            </w14:solidFill>
          </w14:textFill>
        </w:rPr>
        <w:t xml:space="preserve">号）。</w:t>
      </w:r>
      <w:r/>
    </w:p>
    <w:p>
      <w:pPr>
        <w:pStyle w:val="1068"/>
        <w:ind w:left="420" w:firstLine="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、监狱和戒毒企业价格扣除</w:t>
      </w:r>
      <w:r/>
    </w:p>
    <w:p>
      <w:pPr>
        <w:pStyle w:val="1068"/>
        <w:ind w:left="420" w:firstLine="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）本项目对监狱和戒毒企业（简称监狱企业）视同小型、微型企业，给予</w:t>
      </w: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的价</w:t>
      </w:r>
      <w:r/>
    </w:p>
    <w:p>
      <w:pPr>
        <w:pStyle w:val="1068"/>
        <w:ind w:firstLine="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格扣除，用扣除后的价格参与评审。</w:t>
      </w:r>
      <w:r/>
    </w:p>
    <w:p>
      <w:pPr>
        <w:pStyle w:val="1068"/>
        <w:ind w:left="420" w:firstLine="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）监狱企业参加政府采购活动时，需提供由省级以上监狱管理局、戒毒管理局</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含新</w:t>
      </w:r>
      <w:r/>
    </w:p>
    <w:p>
      <w:pPr>
        <w:pStyle w:val="1068"/>
        <w:ind w:left="420" w:hanging="42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疆生产建设兵团</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出具的属于监狱企业的证明文件。供应商如不提供上述证明文件，价格将</w:t>
      </w:r>
      <w:r/>
    </w:p>
    <w:p>
      <w:pPr>
        <w:pStyle w:val="1068"/>
        <w:ind w:left="420" w:hanging="42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不做相应扣除。</w:t>
      </w:r>
      <w:r/>
    </w:p>
    <w:p>
      <w:pPr>
        <w:pStyle w:val="1068"/>
        <w:ind w:firstLine="42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）监狱企业标准请参照《关于政府采购支持监狱企业发展有关问题的通知》（财库</w:t>
      </w:r>
      <w:r>
        <w:rPr>
          <w:rFonts w:ascii="宋体" w:hAnsi="宋体"/>
          <w:color w:val="000000" w:themeColor="text1"/>
          <w:sz w:val="21"/>
          <w:szCs w:val="21"/>
          <w:highlight w:val="none"/>
          <w14:textFill>
            <w14:solidFill>
              <w14:schemeClr w14:val="tx1"/>
            </w14:solidFill>
          </w14:textFill>
        </w:rPr>
        <w:t xml:space="preserve">[2014]68</w:t>
      </w:r>
      <w:r>
        <w:rPr>
          <w:rFonts w:hint="eastAsia" w:ascii="宋体" w:hAnsi="宋体"/>
          <w:color w:val="000000" w:themeColor="text1"/>
          <w:sz w:val="21"/>
          <w:szCs w:val="21"/>
          <w:highlight w:val="none"/>
          <w14:textFill>
            <w14:solidFill>
              <w14:schemeClr w14:val="tx1"/>
            </w14:solidFill>
          </w14:textFill>
        </w:rPr>
        <w:t xml:space="preserve">号）。</w:t>
      </w:r>
      <w:r/>
    </w:p>
    <w:p>
      <w:pPr>
        <w:pStyle w:val="1068"/>
        <w:ind w:firstLine="42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、残疾人福利单位、监狱企业属于小型、微型企业的，不重复享受政策。</w:t>
      </w:r>
      <w:r/>
    </w:p>
    <w:p>
      <w:pPr>
        <w:pStyle w:val="1068"/>
        <w:ind w:left="420" w:firstLine="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5</w:t>
      </w:r>
      <w:r>
        <w:rPr>
          <w:rFonts w:hint="eastAsia" w:ascii="宋体" w:hAnsi="宋体"/>
          <w:color w:val="000000" w:themeColor="text1"/>
          <w:sz w:val="21"/>
          <w:szCs w:val="21"/>
          <w:highlight w:val="none"/>
          <w14:textFill>
            <w14:solidFill>
              <w14:schemeClr w14:val="tx1"/>
            </w14:solidFill>
          </w14:textFill>
        </w:rPr>
        <w:t xml:space="preserve">、大中型企业和其他自然人、法人或者其他组织并与小型、微型企业（残疾人福利单</w:t>
      </w:r>
      <w:r/>
    </w:p>
    <w:p>
      <w:pPr>
        <w:pStyle w:val="1068"/>
        <w:ind w:left="420" w:hanging="42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位、监狱企业）组成联合体共同参加政府采购活动。联合协议中约定，小型、微型企业（残</w:t>
      </w:r>
      <w:r/>
    </w:p>
    <w:p>
      <w:pPr>
        <w:pStyle w:val="1068"/>
        <w:ind w:left="420" w:hanging="42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疾人福利单位、监狱企业）的协议合同金额占到联合体协议合同总金额</w:t>
      </w:r>
      <w:r>
        <w:rPr>
          <w:rFonts w:ascii="宋体" w:hAnsi="宋体"/>
          <w:color w:val="000000" w:themeColor="text1"/>
          <w:sz w:val="21"/>
          <w:szCs w:val="21"/>
          <w:highlight w:val="none"/>
          <w14:textFill>
            <w14:solidFill>
              <w14:schemeClr w14:val="tx1"/>
            </w14:solidFill>
          </w14:textFill>
        </w:rPr>
        <w:t xml:space="preserve">30%</w:t>
      </w:r>
      <w:r>
        <w:rPr>
          <w:rFonts w:hint="eastAsia" w:ascii="宋体" w:hAnsi="宋体"/>
          <w:color w:val="000000" w:themeColor="text1"/>
          <w:sz w:val="21"/>
          <w:szCs w:val="21"/>
          <w:highlight w:val="none"/>
          <w14:textFill>
            <w14:solidFill>
              <w14:schemeClr w14:val="tx1"/>
            </w14:solidFill>
          </w14:textFill>
        </w:rPr>
        <w:t xml:space="preserve">以上的，给予联</w:t>
      </w:r>
      <w:r/>
    </w:p>
    <w:p>
      <w:pPr>
        <w:pStyle w:val="1068"/>
        <w:ind w:left="420" w:hanging="42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合体</w:t>
      </w:r>
      <w:r>
        <w:rPr>
          <w:rFonts w:ascii="宋体" w:hAnsi="宋体"/>
          <w:color w:val="000000" w:themeColor="text1"/>
          <w:sz w:val="21"/>
          <w:szCs w:val="21"/>
          <w:highlight w:val="none"/>
          <w14:textFill>
            <w14:solidFill>
              <w14:schemeClr w14:val="tx1"/>
            </w14:solidFill>
          </w14:textFill>
        </w:rPr>
        <w:t xml:space="preserve">6%</w:t>
      </w:r>
      <w:r>
        <w:rPr>
          <w:rFonts w:hint="eastAsia" w:ascii="宋体" w:hAnsi="宋体"/>
          <w:color w:val="000000" w:themeColor="text1"/>
          <w:sz w:val="21"/>
          <w:szCs w:val="21"/>
          <w:highlight w:val="none"/>
          <w14:textFill>
            <w14:solidFill>
              <w14:schemeClr w14:val="tx1"/>
            </w14:solidFill>
          </w14:textFill>
        </w:rPr>
        <w:t xml:space="preserve">的价格扣除，用扣除后的价格参与评审。</w:t>
      </w:r>
      <w:r>
        <w:rPr>
          <w:rFonts w:ascii="宋体"/>
          <w:color w:val="000000" w:themeColor="text1"/>
          <w:sz w:val="21"/>
          <w:szCs w:val="21"/>
          <w:highlight w:val="none"/>
          <w14:textFill>
            <w14:solidFill>
              <w14:schemeClr w14:val="tx1"/>
            </w14:solidFill>
          </w14:textFill>
        </w:rPr>
        <w:t xml:space="preserve"> </w:t>
      </w:r>
      <w:r/>
    </w:p>
    <w:p>
      <w:pPr>
        <w:pStyle w:val="1068"/>
        <w:ind w:left="420" w:firstLine="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6</w:t>
      </w:r>
      <w:r>
        <w:rPr>
          <w:rFonts w:hint="eastAsia" w:ascii="宋体" w:hAnsi="宋体"/>
          <w:color w:val="000000" w:themeColor="text1"/>
          <w:sz w:val="21"/>
          <w:szCs w:val="21"/>
          <w:highlight w:val="none"/>
          <w14:textFill>
            <w14:solidFill>
              <w14:schemeClr w14:val="tx1"/>
            </w14:solidFill>
          </w14:textFill>
        </w:rPr>
        <w:t xml:space="preserve">、联合体各方均为小型、微型企业（残疾人福利单位、监狱企业）的，联合体享受</w:t>
      </w: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价格扣除，用扣除后的价格参与评审。</w:t>
      </w:r>
      <w:r/>
    </w:p>
    <w:p>
      <w:pPr>
        <w:pStyle w:val="1068"/>
        <w:ind w:firstLine="422"/>
        <w:rPr>
          <w:rFonts w:asci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三、评标标准</w:t>
      </w:r>
      <w:r/>
    </w:p>
    <w:p>
      <w:pP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包</w:t>
      </w:r>
      <w:r>
        <w:rPr>
          <w:b/>
          <w:bCs/>
          <w:color w:val="000000" w:themeColor="text1"/>
          <w:highlight w:val="none"/>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w:t>
      </w:r>
      <w:r/>
    </w:p>
    <w:tbl>
      <w:tblPr>
        <w:tblStyle w:val="8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6804"/>
      </w:tblGrid>
      <w:tr>
        <w:trPr>
          <w:trHeight w:val="498"/>
        </w:trPr>
        <w:tc>
          <w:tcPr>
            <w:tcW w:w="1271" w:type="dxa"/>
            <w:vAlign w:val="center"/>
            <w:textDirection w:val="lrTb"/>
            <w:noWrap w:val="false"/>
          </w:tcPr>
          <w:p>
            <w:pPr>
              <w:jc w:val="center"/>
              <w:spacing w:line="288" w:lineRule="auto"/>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评审项目</w:t>
            </w:r>
            <w:r/>
          </w:p>
        </w:tc>
        <w:tc>
          <w:tcPr>
            <w:tcW w:w="6804" w:type="dxa"/>
            <w:vAlign w:val="center"/>
            <w:textDirection w:val="lrTb"/>
            <w:noWrap w:val="false"/>
          </w:tcPr>
          <w:p>
            <w:pPr>
              <w:jc w:val="center"/>
              <w:spacing w:line="288" w:lineRule="auto"/>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评分标准</w:t>
            </w:r>
            <w:r/>
          </w:p>
        </w:tc>
      </w:tr>
      <w:tr>
        <w:trPr/>
        <w:tc>
          <w:tcPr>
            <w:tcW w:w="1271" w:type="dxa"/>
            <w:vAlign w:val="center"/>
            <w:textDirection w:val="lrTb"/>
            <w:noWrap w:val="false"/>
          </w:tcPr>
          <w:p>
            <w:pPr>
              <w:jc w:val="center"/>
              <w:spacing w:line="288" w:lineRule="auto"/>
              <w:rPr>
                <w:rFonts w:asci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投标报价</w:t>
            </w:r>
            <w:r/>
          </w:p>
          <w:p>
            <w:pPr>
              <w:jc w:val="center"/>
              <w:spacing w:line="288" w:lineRule="auto"/>
              <w:rPr>
                <w:rFonts w:asci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asci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分）</w:t>
            </w:r>
            <w:r/>
          </w:p>
        </w:tc>
        <w:tc>
          <w:tcPr>
            <w:tcW w:w="6804" w:type="dxa"/>
            <w:vAlign w:val="center"/>
            <w:textDirection w:val="lrTb"/>
            <w:noWrap w:val="false"/>
          </w:tcPr>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以满足招标文件要求且投标价格最低的投标报价为评标基准价，其价格分为满分。其他投标人的价格分按照下列公式计算</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小数点保留两位</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投标报价得分</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评标基准价／投标报价</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10</w:t>
            </w:r>
            <w:r/>
          </w:p>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评审过程中，若投标人报价明显低于社会平均成本，评标委员会应当质询投标人，并要求投标人提足以供证明其合理性的资料（如人员工资、社会保险费用、管理费、利润、税金、材料设备投入等报价组成依据）。如果投标人不能进行合理说明或提供相关证明资料的，由评标委员会认定该投标人的投标低于成本价，为无效报价。</w:t>
            </w:r>
            <w:r/>
          </w:p>
        </w:tc>
      </w:tr>
      <w:tr>
        <w:trPr/>
        <w:tc>
          <w:tcPr>
            <w:tcW w:w="1271" w:type="dxa"/>
            <w:vAlign w:val="center"/>
            <w:textDirection w:val="lrTb"/>
            <w:noWrap w:val="false"/>
          </w:tcPr>
          <w:p>
            <w:pPr>
              <w:jc w:val="center"/>
              <w:spacing w:line="288" w:lineRule="auto"/>
              <w:rPr>
                <w:rFonts w:ascii="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技术评分（</w:t>
            </w:r>
            <w:r>
              <w:rPr>
                <w:rFonts w:ascii="宋体" w:hAnsi="宋体" w:cs="宋体"/>
                <w:color w:val="000000" w:themeColor="text1"/>
                <w:szCs w:val="21"/>
                <w:highlight w:val="none"/>
                <w14:textFill>
                  <w14:solidFill>
                    <w14:schemeClr w14:val="tx1"/>
                  </w14:solidFill>
                </w14:textFill>
              </w:rPr>
              <w:t xml:space="preserve">60</w:t>
            </w:r>
            <w:r>
              <w:rPr>
                <w:rFonts w:hint="eastAsia" w:ascii="宋体" w:hAnsi="宋体" w:cs="宋体"/>
                <w:color w:val="000000" w:themeColor="text1"/>
                <w:szCs w:val="21"/>
                <w:highlight w:val="none"/>
                <w14:textFill>
                  <w14:solidFill>
                    <w14:schemeClr w14:val="tx1"/>
                  </w14:solidFill>
                </w14:textFill>
              </w:rPr>
              <w:t xml:space="preserve">分）</w:t>
            </w:r>
            <w:r/>
          </w:p>
        </w:tc>
        <w:tc>
          <w:tcPr>
            <w:tcW w:w="6804" w:type="dxa"/>
            <w:vAlign w:val="center"/>
            <w:textDirection w:val="lrTb"/>
            <w:noWrap w:val="false"/>
          </w:tcPr>
          <w:p>
            <w:pPr>
              <w:spacing w:line="288" w:lineRule="auto"/>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）本项目所涉及区域相关业务现状、重难点分析：</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）服务方案：</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道路、绿化带、隔离带等作业服务方案：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垃圾收运方案：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果壳箱垃圾收集容器、标识牌等环卫设施管理维护及小广告清理等作业服务方案：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大气污染防治方案：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5</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公厕保洁清扫方案：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冬季梧桐落叶收集方案：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恶劣天气应急保障方案：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8</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中转站清洁方案：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9</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人员配备、培训方案，合理配备各工种工作人员，包括不限于人员数量等；对各工种的人员进行各类专业的培训及管理，制定全面、科学合理、高效的方案：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10</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车辆设备配置及运行方案：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w:t>
            </w:r>
            <w:r>
              <w:rPr>
                <w:rFonts w:hint="eastAsia" w:ascii="宋体" w:hAnsi="宋体"/>
                <w:color w:val="000000" w:themeColor="text1"/>
                <w:szCs w:val="21"/>
                <w:highlight w:val="none"/>
                <w14:textFill>
                  <w14:solidFill>
                    <w14:schemeClr w14:val="tx1"/>
                  </w14:solidFill>
                </w14:textFill>
              </w:rPr>
              <w:t xml:space="preserve">资金保障方案：在政府财政紧张，作业费用出现支付不及时的情况下，企业应具备资金筹措能力，确保员工工资，按月足额发放，项目正常运转。方案合理合规可行得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分，基本可行得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分，不可行，不得分。</w:t>
            </w:r>
            <w:r/>
          </w:p>
        </w:tc>
      </w:tr>
      <w:tr>
        <w:trPr/>
        <w:tc>
          <w:tcPr>
            <w:tcW w:w="1271" w:type="dxa"/>
            <w:vAlign w:val="center"/>
            <w:textDirection w:val="lrTb"/>
            <w:noWrap w:val="false"/>
          </w:tcPr>
          <w:p>
            <w:pPr>
              <w:jc w:val="center"/>
              <w:spacing w:line="288"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企业体系认证（</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tc>
        <w:tc>
          <w:tcPr>
            <w:tcW w:w="6804" w:type="dxa"/>
            <w:textDirection w:val="lrTb"/>
            <w:noWrap w:val="false"/>
          </w:tcPr>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投标人具有有效期内的质量管理体系认证证书、环境管理体系认证证书、职业健康安全管理体系认证证书、</w:t>
            </w:r>
            <w:r>
              <w:rPr>
                <w:rFonts w:hint="eastAsia" w:ascii="宋体" w:hAnsi="宋体" w:cs="宋体"/>
                <w:color w:val="000000" w:themeColor="text1"/>
                <w:spacing w:val="-10"/>
                <w:szCs w:val="21"/>
                <w:highlight w:val="none"/>
                <w14:textFill>
                  <w14:solidFill>
                    <w14:schemeClr w14:val="tx1"/>
                  </w14:solidFill>
                </w14:textFill>
              </w:rPr>
              <w:t xml:space="preserve">社会责任管理体系认证证书</w:t>
            </w:r>
            <w:r>
              <w:rPr>
                <w:rFonts w:hint="eastAsia" w:ascii="宋体" w:hAnsi="宋体" w:cs="宋体"/>
                <w:color w:val="000000" w:themeColor="text1"/>
                <w:szCs w:val="21"/>
                <w:highlight w:val="none"/>
                <w14:textFill>
                  <w14:solidFill>
                    <w14:schemeClr w14:val="tx1"/>
                  </w14:solidFill>
                </w14:textFill>
              </w:rPr>
              <w:t xml:space="preserve">、信息安全管理体系认证证书，每提供一个得</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分，满分</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分。（须提供证书</w:t>
            </w:r>
            <w:r>
              <w:rPr>
                <w:rFonts w:hint="eastAsia" w:ascii="宋体" w:hAnsi="宋体" w:cs="宋体"/>
                <w:bCs/>
                <w:color w:val="000000" w:themeColor="text1"/>
                <w:szCs w:val="21"/>
                <w:highlight w:val="none"/>
                <w14:textFill>
                  <w14:solidFill>
                    <w14:schemeClr w14:val="tx1"/>
                  </w14:solidFill>
                </w14:textFill>
              </w:rPr>
              <w:t xml:space="preserve">扫描件</w:t>
            </w:r>
            <w:r>
              <w:rPr>
                <w:rFonts w:hint="eastAsia" w:ascii="宋体" w:hAnsi="宋体" w:cs="宋体"/>
                <w:color w:val="000000" w:themeColor="text1"/>
                <w:szCs w:val="21"/>
                <w:highlight w:val="none"/>
                <w14:textFill>
                  <w14:solidFill>
                    <w14:schemeClr w14:val="tx1"/>
                  </w14:solidFill>
                </w14:textFill>
              </w:rPr>
              <w:t xml:space="preserve">及</w:t>
            </w:r>
            <w:r>
              <w:rPr>
                <w:rFonts w:hint="eastAsia" w:ascii="宋体" w:hAnsi="宋体" w:cs="宋体"/>
                <w:bCs/>
                <w:color w:val="000000" w:themeColor="text1"/>
                <w:szCs w:val="21"/>
                <w:highlight w:val="none"/>
                <w14:textFill>
                  <w14:solidFill>
                    <w14:schemeClr w14:val="tx1"/>
                  </w14:solidFill>
                </w14:textFill>
              </w:rPr>
              <w:t xml:space="preserve">全国认证认可信息公共服务平台证书查询状态为有效的截图上传</w:t>
            </w:r>
            <w:r>
              <w:rPr>
                <w:rFonts w:hint="eastAsia" w:ascii="宋体" w:hAnsi="宋体" w:cs="宋体"/>
                <w:color w:val="000000" w:themeColor="text1"/>
                <w:szCs w:val="21"/>
                <w:highlight w:val="none"/>
                <w:lang w:val="zh-CN"/>
                <w14:textFill>
                  <w14:solidFill>
                    <w14:schemeClr w14:val="tx1"/>
                  </w14:solidFill>
                </w14:textFill>
              </w:rPr>
              <w:t xml:space="preserve">，不提供不得分</w:t>
            </w:r>
            <w:r>
              <w:rPr>
                <w:rFonts w:hint="eastAsia" w:ascii="宋体" w:hAnsi="宋体" w:cs="宋体"/>
                <w:color w:val="000000" w:themeColor="text1"/>
                <w:szCs w:val="21"/>
                <w:highlight w:val="none"/>
                <w14:textFill>
                  <w14:solidFill>
                    <w14:schemeClr w14:val="tx1"/>
                  </w14:solidFill>
                </w14:textFill>
              </w:rPr>
              <w:t xml:space="preserve">）</w:t>
            </w:r>
            <w:r/>
          </w:p>
        </w:tc>
      </w:tr>
      <w:tr>
        <w:trPr/>
        <w:tc>
          <w:tcPr>
            <w:tcW w:w="1271" w:type="dxa"/>
            <w:vAlign w:val="center"/>
            <w:textDirection w:val="lrTb"/>
            <w:noWrap w:val="false"/>
          </w:tcPr>
          <w:p>
            <w:pPr>
              <w:jc w:val="center"/>
              <w:spacing w:line="288"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企业业绩（</w:t>
            </w:r>
            <w:r>
              <w:rPr>
                <w:rFonts w:ascii="宋体" w:hAnsi="宋体"/>
                <w:color w:val="000000" w:themeColor="text1"/>
                <w:szCs w:val="21"/>
                <w:highlight w:val="none"/>
                <w14:textFill>
                  <w14:solidFill>
                    <w14:schemeClr w14:val="tx1"/>
                  </w14:solidFill>
                </w14:textFill>
              </w:rPr>
              <w:t xml:space="preserve">12</w:t>
            </w:r>
            <w:r>
              <w:rPr>
                <w:rFonts w:hint="eastAsia" w:ascii="宋体" w:hAnsi="宋体"/>
                <w:color w:val="000000" w:themeColor="text1"/>
                <w:szCs w:val="21"/>
                <w:highlight w:val="none"/>
                <w14:textFill>
                  <w14:solidFill>
                    <w14:schemeClr w14:val="tx1"/>
                  </w14:solidFill>
                </w14:textFill>
              </w:rPr>
              <w:t xml:space="preserve">分）</w:t>
            </w:r>
            <w:r/>
          </w:p>
        </w:tc>
        <w:tc>
          <w:tcPr>
            <w:tcW w:w="6804" w:type="dxa"/>
            <w:vAlign w:val="center"/>
            <w:textDirection w:val="lrTb"/>
            <w:noWrap w:val="false"/>
          </w:tcPr>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w:t>
            </w:r>
            <w:r>
              <w:rPr>
                <w:rFonts w:ascii="宋体" w:hAnsi="宋体" w:cs="宋体"/>
                <w:color w:val="000000" w:themeColor="text1"/>
                <w:szCs w:val="21"/>
                <w:highlight w:val="none"/>
                <w14:textFill>
                  <w14:solidFill>
                    <w14:schemeClr w14:val="tx1"/>
                  </w14:solidFill>
                </w14:textFill>
              </w:rPr>
              <w:t xml:space="preserve">2022</w:t>
            </w:r>
            <w:r>
              <w:rPr>
                <w:rFonts w:hint="eastAsia" w:ascii="宋体" w:hAnsi="宋体" w:cs="宋体"/>
                <w:color w:val="000000" w:themeColor="text1"/>
                <w:szCs w:val="21"/>
                <w:highlight w:val="none"/>
                <w14:textFill>
                  <w14:solidFill>
                    <w14:schemeClr w14:val="tx1"/>
                  </w14:solidFill>
                </w14:textFill>
              </w:rPr>
              <w:t xml:space="preserve">年</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月</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日以来（以合同签订时间为准）承担过类似业绩的，每有</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个得</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分，最高得</w:t>
            </w:r>
            <w:r>
              <w:rPr>
                <w:rFonts w:ascii="宋体" w:hAnsi="宋体" w:cs="宋体"/>
                <w:color w:val="000000" w:themeColor="text1"/>
                <w:szCs w:val="21"/>
                <w:highlight w:val="none"/>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分。（同一项目不同年限不累计得分，提供中标通知书、合同原件扫描上传）</w:t>
            </w:r>
            <w:r/>
          </w:p>
        </w:tc>
      </w:tr>
      <w:tr>
        <w:trPr/>
        <w:tc>
          <w:tcPr>
            <w:tcW w:w="1271"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项目团队</w:t>
            </w:r>
            <w:r/>
          </w:p>
          <w:p>
            <w:pPr>
              <w:jc w:val="center"/>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分）</w:t>
            </w:r>
            <w:r/>
          </w:p>
        </w:tc>
        <w:tc>
          <w:tcPr>
            <w:tcW w:w="6804" w:type="dxa"/>
            <w:vAlign w:val="center"/>
            <w:textDirection w:val="lrTb"/>
            <w:noWrap w:val="false"/>
          </w:tcPr>
          <w:p>
            <w:pPr>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拟安排的项目负责人（</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人）</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）项目负责人具备大专学历的得</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分，本科及以上学历的得</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分，满分</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）项目负责人具有中级及以上职称的得</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分，满分</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jc w:val="left"/>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项目组其他成员（不含项目负责人）</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分：</w:t>
            </w:r>
            <w:r/>
          </w:p>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）具备大专学历的，每有</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人得</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分；本科及以上学历的，每有</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人得</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分，满分</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）具有中级及以上职称证书的，每有</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人得</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分，满分</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分。</w:t>
            </w:r>
            <w:r/>
          </w:p>
          <w:p>
            <w:pPr>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注：投标人需提供以上人员学历证书及学信网查询记录（留学归国人员如无法提供学信网查询记录截图，提供国（境）外学历证书扫描件和教育部留学服务中心出具的国外学历认证书扫描件）等相关证书原件扫描件及投标人为其缴纳的近三个月内任意一个月的社保证明材料扫描件上传，</w:t>
            </w:r>
            <w:r>
              <w:rPr>
                <w:rFonts w:hint="eastAsia" w:ascii="宋体" w:hAnsi="宋体" w:cs="宋体"/>
                <w:color w:val="000000" w:themeColor="text1"/>
                <w:spacing w:val="-10"/>
                <w:szCs w:val="21"/>
                <w:highlight w:val="none"/>
                <w:lang w:val="zh-CN"/>
                <w14:textFill>
                  <w14:solidFill>
                    <w14:schemeClr w14:val="tx1"/>
                  </w14:solidFill>
                </w14:textFill>
              </w:rPr>
              <w:t xml:space="preserve">不提供不得分</w:t>
            </w:r>
            <w:r>
              <w:rPr>
                <w:rFonts w:hint="eastAsia" w:ascii="宋体" w:hAnsi="宋体" w:cs="宋体"/>
                <w:color w:val="000000" w:themeColor="text1"/>
                <w:szCs w:val="21"/>
                <w:highlight w:val="none"/>
                <w14:textFill>
                  <w14:solidFill>
                    <w14:schemeClr w14:val="tx1"/>
                  </w14:solidFill>
                </w14:textFill>
              </w:rPr>
              <w:t xml:space="preserve">。</w:t>
            </w:r>
            <w:r/>
          </w:p>
        </w:tc>
      </w:tr>
    </w:tbl>
    <w:p>
      <w:pPr>
        <w:pStyle w:val="87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包</w:t>
      </w:r>
      <w:r>
        <w:rPr>
          <w:rFonts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w:t>
      </w:r>
      <w:r/>
    </w:p>
    <w:tbl>
      <w:tblPr>
        <w:tblStyle w:val="819"/>
        <w:tblpPr w:horzAnchor="page" w:tblpX="1792" w:vertAnchor="text" w:tblpY="297"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6804"/>
      </w:tblGrid>
      <w:tr>
        <w:trPr>
          <w:trHeight w:val="498"/>
        </w:trPr>
        <w:tc>
          <w:tcPr>
            <w:tcW w:w="1271" w:type="dxa"/>
            <w:vAlign w:val="center"/>
            <w:textDirection w:val="lrTb"/>
            <w:noWrap w:val="false"/>
          </w:tcPr>
          <w:p>
            <w:pPr>
              <w:jc w:val="center"/>
              <w:spacing w:line="288" w:lineRule="auto"/>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评审项目</w:t>
            </w:r>
            <w:r/>
          </w:p>
        </w:tc>
        <w:tc>
          <w:tcPr>
            <w:tcW w:w="6804" w:type="dxa"/>
            <w:vAlign w:val="center"/>
            <w:textDirection w:val="lrTb"/>
            <w:noWrap w:val="false"/>
          </w:tcPr>
          <w:p>
            <w:pPr>
              <w:jc w:val="center"/>
              <w:spacing w:line="288" w:lineRule="auto"/>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评分标准</w:t>
            </w:r>
            <w:r/>
          </w:p>
        </w:tc>
      </w:tr>
      <w:tr>
        <w:trPr/>
        <w:tc>
          <w:tcPr>
            <w:tcW w:w="1271" w:type="dxa"/>
            <w:vAlign w:val="center"/>
            <w:textDirection w:val="lrTb"/>
            <w:noWrap w:val="false"/>
          </w:tcPr>
          <w:p>
            <w:pPr>
              <w:jc w:val="center"/>
              <w:spacing w:line="288" w:lineRule="auto"/>
              <w:rPr>
                <w:rFonts w:asci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投标报价</w:t>
            </w:r>
            <w:r/>
          </w:p>
          <w:p>
            <w:pPr>
              <w:jc w:val="center"/>
              <w:spacing w:line="288" w:lineRule="auto"/>
              <w:rPr>
                <w:rFonts w:asci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asci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分）</w:t>
            </w:r>
            <w:r/>
          </w:p>
        </w:tc>
        <w:tc>
          <w:tcPr>
            <w:tcW w:w="6804" w:type="dxa"/>
            <w:vAlign w:val="center"/>
            <w:textDirection w:val="lrTb"/>
            <w:noWrap w:val="false"/>
          </w:tcPr>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以满足招标文件要求且投标价格最低的投标报价为评标基准价，其价格分为满分。其他投标人的价格分按照下列公式计算</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小数点保留两位</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投标报价得分</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评标基准价／投标报价</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10</w:t>
            </w:r>
            <w:r/>
          </w:p>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评审过程中，若投标人报价明显低于社会平均成本，评标委员会应当质询投标人，并要求投标人提足以供证明其合理性的资料（如人员工资、社会保险费用、管理费、利润、税金、材料设备投入等报价组成依据）。如果投标人不能进行合理说明或提供相关证明资料的，由评标委员会认定该投标人的投标低于成本价，为无效报价。</w:t>
            </w:r>
            <w:r/>
          </w:p>
        </w:tc>
      </w:tr>
      <w:tr>
        <w:trPr/>
        <w:tc>
          <w:tcPr>
            <w:tcW w:w="1271" w:type="dxa"/>
            <w:vAlign w:val="center"/>
            <w:textDirection w:val="lrTb"/>
            <w:noWrap w:val="false"/>
          </w:tcPr>
          <w:p>
            <w:pPr>
              <w:jc w:val="center"/>
              <w:spacing w:line="288" w:lineRule="auto"/>
              <w:rPr>
                <w:rFonts w:ascii="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技术评分（</w:t>
            </w:r>
            <w:r>
              <w:rPr>
                <w:rFonts w:ascii="宋体" w:hAnsi="宋体" w:cs="宋体"/>
                <w:color w:val="000000" w:themeColor="text1"/>
                <w:szCs w:val="21"/>
                <w:highlight w:val="none"/>
                <w14:textFill>
                  <w14:solidFill>
                    <w14:schemeClr w14:val="tx1"/>
                  </w14:solidFill>
                </w14:textFill>
              </w:rPr>
              <w:t xml:space="preserve">60</w:t>
            </w:r>
            <w:r>
              <w:rPr>
                <w:rFonts w:hint="eastAsia" w:ascii="宋体" w:hAnsi="宋体" w:cs="宋体"/>
                <w:color w:val="000000" w:themeColor="text1"/>
                <w:szCs w:val="21"/>
                <w:highlight w:val="none"/>
                <w14:textFill>
                  <w14:solidFill>
                    <w14:schemeClr w14:val="tx1"/>
                  </w14:solidFill>
                </w14:textFill>
              </w:rPr>
              <w:t xml:space="preserve">分）</w:t>
            </w:r>
            <w:r/>
          </w:p>
        </w:tc>
        <w:tc>
          <w:tcPr>
            <w:tcW w:w="6804" w:type="dxa"/>
            <w:vAlign w:val="center"/>
            <w:textDirection w:val="lrTb"/>
            <w:noWrap w:val="false"/>
          </w:tcPr>
          <w:p>
            <w:pPr>
              <w:spacing w:line="288" w:lineRule="auto"/>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）本项目所涉及区域相关业务现状、重难点分析：</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）服务方案：</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道路、绿化带、隔离带等作业服务方案：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垃圾收运方案：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果壳箱垃圾收集容器、标识牌等环卫设施管理维护及小广告清理等作业服务方案：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大气污染防治方案：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5</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公厕保洁清扫方案：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绿化养护方案：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恶劣天气应急保障方案：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8</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中转站清洁方案：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9</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人员配备、培训方案，合理配备各工种工作人员，包括不限于人员数量等；对各工种的人员进行各类专业的培训及管理，制定全面、科学合理、高效的方案：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10</w:t>
            </w:r>
            <w:r>
              <w:rPr>
                <w:rFonts w:asci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车辆设备配置及运行方案：</w:t>
            </w:r>
            <w:r>
              <w:rPr>
                <w:rFonts w:hint="eastAsia" w:ascii="宋体" w:hAnsi="宋体"/>
                <w:color w:val="000000" w:themeColor="text1"/>
                <w:szCs w:val="21"/>
                <w:highlight w:val="none"/>
                <w14:textFill>
                  <w14:solidFill>
                    <w14:schemeClr w14:val="tx1"/>
                  </w14:solidFill>
                </w14:textFill>
              </w:rPr>
              <w:t xml:space="preserve">满足招标文件要求的得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分，基本符合招标文件的得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分，不满足的招标文件要求的得</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分，未提供的不得分。</w:t>
            </w:r>
            <w:r/>
          </w:p>
          <w:p>
            <w:pPr>
              <w:ind w:left="80" w:firstLine="420"/>
              <w:spacing w:line="288" w:lineRule="auto"/>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w:t>
            </w:r>
            <w:r>
              <w:rPr>
                <w:rFonts w:hint="eastAsia" w:ascii="宋体" w:hAnsi="宋体"/>
                <w:color w:val="000000" w:themeColor="text1"/>
                <w:szCs w:val="21"/>
                <w:highlight w:val="none"/>
                <w14:textFill>
                  <w14:solidFill>
                    <w14:schemeClr w14:val="tx1"/>
                  </w14:solidFill>
                </w14:textFill>
              </w:rPr>
              <w:t xml:space="preserve">资金保障方案：在政府财政紧张，作业费用出现支付不及时的情况下，企业应具备资金筹措能力，确保员工工资，按月足额发放，项目正常运转。方案合理合规可行得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分，基本可行得</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分，不可行，不得分。</w:t>
            </w:r>
            <w:r/>
          </w:p>
        </w:tc>
      </w:tr>
      <w:tr>
        <w:trPr/>
        <w:tc>
          <w:tcPr>
            <w:tcW w:w="1271" w:type="dxa"/>
            <w:vAlign w:val="center"/>
            <w:textDirection w:val="lrTb"/>
            <w:noWrap w:val="false"/>
          </w:tcPr>
          <w:p>
            <w:pPr>
              <w:jc w:val="center"/>
              <w:spacing w:line="288"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企业体系认证（</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tc>
        <w:tc>
          <w:tcPr>
            <w:tcW w:w="6804" w:type="dxa"/>
            <w:textDirection w:val="lrTb"/>
            <w:noWrap w:val="false"/>
          </w:tcPr>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投标人具有有效期内的质量管理体系认证证书、环境管理体系认证证书、职业健康安全管理体系认证证书、</w:t>
            </w:r>
            <w:r>
              <w:rPr>
                <w:rFonts w:hint="eastAsia" w:ascii="宋体" w:hAnsi="宋体" w:cs="宋体"/>
                <w:color w:val="000000" w:themeColor="text1"/>
                <w:spacing w:val="-10"/>
                <w:szCs w:val="21"/>
                <w:highlight w:val="none"/>
                <w14:textFill>
                  <w14:solidFill>
                    <w14:schemeClr w14:val="tx1"/>
                  </w14:solidFill>
                </w14:textFill>
              </w:rPr>
              <w:t xml:space="preserve">社会责任管理体系认证证书</w:t>
            </w:r>
            <w:r>
              <w:rPr>
                <w:rFonts w:hint="eastAsia" w:ascii="宋体" w:hAnsi="宋体" w:cs="宋体"/>
                <w:color w:val="000000" w:themeColor="text1"/>
                <w:szCs w:val="21"/>
                <w:highlight w:val="none"/>
                <w14:textFill>
                  <w14:solidFill>
                    <w14:schemeClr w14:val="tx1"/>
                  </w14:solidFill>
                </w14:textFill>
              </w:rPr>
              <w:t xml:space="preserve">、信息安全管理体系认证证书，每提供一个得</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分，满分</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分。（须提供证书</w:t>
            </w:r>
            <w:r>
              <w:rPr>
                <w:rFonts w:hint="eastAsia" w:ascii="宋体" w:hAnsi="宋体" w:cs="宋体"/>
                <w:bCs/>
                <w:color w:val="000000" w:themeColor="text1"/>
                <w:szCs w:val="21"/>
                <w:highlight w:val="none"/>
                <w14:textFill>
                  <w14:solidFill>
                    <w14:schemeClr w14:val="tx1"/>
                  </w14:solidFill>
                </w14:textFill>
              </w:rPr>
              <w:t xml:space="preserve">扫描件</w:t>
            </w:r>
            <w:r>
              <w:rPr>
                <w:rFonts w:hint="eastAsia" w:ascii="宋体" w:hAnsi="宋体" w:cs="宋体"/>
                <w:color w:val="000000" w:themeColor="text1"/>
                <w:szCs w:val="21"/>
                <w:highlight w:val="none"/>
                <w14:textFill>
                  <w14:solidFill>
                    <w14:schemeClr w14:val="tx1"/>
                  </w14:solidFill>
                </w14:textFill>
              </w:rPr>
              <w:t xml:space="preserve">及</w:t>
            </w:r>
            <w:r>
              <w:rPr>
                <w:rFonts w:hint="eastAsia" w:ascii="宋体" w:hAnsi="宋体" w:cs="宋体"/>
                <w:bCs/>
                <w:color w:val="000000" w:themeColor="text1"/>
                <w:szCs w:val="21"/>
                <w:highlight w:val="none"/>
                <w14:textFill>
                  <w14:solidFill>
                    <w14:schemeClr w14:val="tx1"/>
                  </w14:solidFill>
                </w14:textFill>
              </w:rPr>
              <w:t xml:space="preserve">全国认证认可信息公共服务平台证书查询状态为有效的截图上传</w:t>
            </w:r>
            <w:r>
              <w:rPr>
                <w:rFonts w:hint="eastAsia" w:ascii="宋体" w:hAnsi="宋体" w:cs="宋体"/>
                <w:color w:val="000000" w:themeColor="text1"/>
                <w:szCs w:val="21"/>
                <w:highlight w:val="none"/>
                <w:lang w:val="zh-CN"/>
                <w14:textFill>
                  <w14:solidFill>
                    <w14:schemeClr w14:val="tx1"/>
                  </w14:solidFill>
                </w14:textFill>
              </w:rPr>
              <w:t xml:space="preserve">，不提供不得分</w:t>
            </w:r>
            <w:r>
              <w:rPr>
                <w:rFonts w:hint="eastAsia" w:ascii="宋体" w:hAnsi="宋体" w:cs="宋体"/>
                <w:color w:val="000000" w:themeColor="text1"/>
                <w:szCs w:val="21"/>
                <w:highlight w:val="none"/>
                <w14:textFill>
                  <w14:solidFill>
                    <w14:schemeClr w14:val="tx1"/>
                  </w14:solidFill>
                </w14:textFill>
              </w:rPr>
              <w:t xml:space="preserve">）</w:t>
            </w:r>
            <w:r/>
          </w:p>
        </w:tc>
      </w:tr>
      <w:tr>
        <w:trPr/>
        <w:tc>
          <w:tcPr>
            <w:tcW w:w="1271" w:type="dxa"/>
            <w:vAlign w:val="center"/>
            <w:textDirection w:val="lrTb"/>
            <w:noWrap w:val="false"/>
          </w:tcPr>
          <w:p>
            <w:pPr>
              <w:jc w:val="center"/>
              <w:spacing w:line="288"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企业业绩（</w:t>
            </w:r>
            <w:r>
              <w:rPr>
                <w:rFonts w:ascii="宋体" w:hAnsi="宋体"/>
                <w:color w:val="000000" w:themeColor="text1"/>
                <w:szCs w:val="21"/>
                <w:highlight w:val="none"/>
                <w14:textFill>
                  <w14:solidFill>
                    <w14:schemeClr w14:val="tx1"/>
                  </w14:solidFill>
                </w14:textFill>
              </w:rPr>
              <w:t xml:space="preserve">12</w:t>
            </w:r>
            <w:r>
              <w:rPr>
                <w:rFonts w:hint="eastAsia" w:ascii="宋体" w:hAnsi="宋体"/>
                <w:color w:val="000000" w:themeColor="text1"/>
                <w:szCs w:val="21"/>
                <w:highlight w:val="none"/>
                <w14:textFill>
                  <w14:solidFill>
                    <w14:schemeClr w14:val="tx1"/>
                  </w14:solidFill>
                </w14:textFill>
              </w:rPr>
              <w:t xml:space="preserve">分）</w:t>
            </w:r>
            <w:r/>
          </w:p>
        </w:tc>
        <w:tc>
          <w:tcPr>
            <w:tcW w:w="6804" w:type="dxa"/>
            <w:vAlign w:val="center"/>
            <w:textDirection w:val="lrTb"/>
            <w:noWrap w:val="false"/>
          </w:tcPr>
          <w:p>
            <w:pPr>
              <w:ind w:left="80"/>
              <w:spacing w:line="288"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w:t>
            </w:r>
            <w:r>
              <w:rPr>
                <w:rFonts w:ascii="宋体" w:hAnsi="宋体" w:cs="宋体"/>
                <w:color w:val="000000" w:themeColor="text1"/>
                <w:szCs w:val="21"/>
                <w:highlight w:val="none"/>
                <w14:textFill>
                  <w14:solidFill>
                    <w14:schemeClr w14:val="tx1"/>
                  </w14:solidFill>
                </w14:textFill>
              </w:rPr>
              <w:t xml:space="preserve">2022</w:t>
            </w:r>
            <w:r>
              <w:rPr>
                <w:rFonts w:hint="eastAsia" w:ascii="宋体" w:hAnsi="宋体" w:cs="宋体"/>
                <w:color w:val="000000" w:themeColor="text1"/>
                <w:szCs w:val="21"/>
                <w:highlight w:val="none"/>
                <w14:textFill>
                  <w14:solidFill>
                    <w14:schemeClr w14:val="tx1"/>
                  </w14:solidFill>
                </w14:textFill>
              </w:rPr>
              <w:t xml:space="preserve">年</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月</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日以来（以合同签订时间为准）承担过类似业绩的，每有</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个得</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分，最高得</w:t>
            </w:r>
            <w:r>
              <w:rPr>
                <w:rFonts w:ascii="宋体" w:hAnsi="宋体" w:cs="宋体"/>
                <w:color w:val="000000" w:themeColor="text1"/>
                <w:szCs w:val="21"/>
                <w:highlight w:val="none"/>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分。（同一项目不同年限不累计得分，提供中标通知书、合同原件扫描上传）</w:t>
            </w:r>
            <w:r/>
          </w:p>
        </w:tc>
      </w:tr>
      <w:tr>
        <w:trPr/>
        <w:tc>
          <w:tcPr>
            <w:tcW w:w="1271"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项目团队</w:t>
            </w:r>
            <w:r/>
          </w:p>
          <w:p>
            <w:pPr>
              <w:jc w:val="center"/>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分）</w:t>
            </w:r>
            <w:r/>
          </w:p>
        </w:tc>
        <w:tc>
          <w:tcPr>
            <w:tcW w:w="6804" w:type="dxa"/>
            <w:vAlign w:val="center"/>
            <w:textDirection w:val="lrTb"/>
            <w:noWrap w:val="false"/>
          </w:tcPr>
          <w:p>
            <w:pPr>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拟安排的项目负责人（</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人）</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）项目负责人具备大专学历的得</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分，本科及以上学历的得</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分，满分</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）项目负责人具有中级及以上职称的得</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分，满分</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jc w:val="left"/>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项目组其他成员（不含项目负责人）</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分：</w:t>
            </w:r>
            <w:r/>
          </w:p>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）具备大专学历的，每有</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人得</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分；本科及以上学历的，每有</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人得</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分，满分</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jc w:val="left"/>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）具有中级及以上职称证书的，每有</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人得</w:t>
            </w: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分，满分</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分。</w:t>
            </w:r>
            <w:r/>
          </w:p>
          <w:p>
            <w:pPr>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注：投标人需提供以上人员学历证书及学信网查询记录（留学归国人员如无法提供学信网查询记录截图，提供国（境）外学历证书扫描件和教育部留学服务中心出具的国外学历认证书扫描件）等相关证书原件扫描件及投标人为其缴纳的近三个月内任意一个月的社保证明材料扫描件上传，</w:t>
            </w:r>
            <w:r>
              <w:rPr>
                <w:rFonts w:hint="eastAsia" w:ascii="宋体" w:hAnsi="宋体" w:cs="宋体"/>
                <w:color w:val="000000" w:themeColor="text1"/>
                <w:spacing w:val="-10"/>
                <w:szCs w:val="21"/>
                <w:highlight w:val="none"/>
                <w:lang w:val="zh-CN"/>
                <w14:textFill>
                  <w14:solidFill>
                    <w14:schemeClr w14:val="tx1"/>
                  </w14:solidFill>
                </w14:textFill>
              </w:rPr>
              <w:t xml:space="preserve">不提供不得分</w:t>
            </w:r>
            <w:r>
              <w:rPr>
                <w:rFonts w:hint="eastAsia" w:ascii="宋体" w:hAnsi="宋体" w:cs="宋体"/>
                <w:color w:val="000000" w:themeColor="text1"/>
                <w:szCs w:val="21"/>
                <w:highlight w:val="none"/>
                <w14:textFill>
                  <w14:solidFill>
                    <w14:schemeClr w14:val="tx1"/>
                  </w14:solidFill>
                </w14:textFill>
              </w:rPr>
              <w:t xml:space="preserve">。</w:t>
            </w:r>
            <w:r/>
          </w:p>
        </w:tc>
      </w:tr>
    </w:tbl>
    <w:p>
      <w:pPr>
        <w:pStyle w:val="1037"/>
        <w:jc w:val="both"/>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pStyle w:val="1037"/>
        <w:jc w:val="both"/>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pStyle w:val="1037"/>
        <w:jc w:val="both"/>
        <w:rPr>
          <w:rFonts w:asci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t xml:space="preserve"> </w:t>
      </w:r>
      <w:bookmarkStart w:id="46" w:name="_Toc19713"/>
      <w:r/>
      <w:r/>
    </w:p>
    <w:p>
      <w:pPr>
        <w:pStyle w:val="1037"/>
        <w:jc w:val="center"/>
        <w:rPr>
          <w:rFonts w:asci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第六章</w:t>
      </w:r>
      <w:r>
        <w:rPr>
          <w:rFonts w:ascii="宋体" w:hAnsi="宋体"/>
          <w:color w:val="000000" w:themeColor="text1"/>
          <w:sz w:val="36"/>
          <w:highlight w:val="none"/>
          <w14:textFill>
            <w14:solidFill>
              <w14:schemeClr w14:val="tx1"/>
            </w14:solidFill>
          </w14:textFill>
        </w:rPr>
        <w:t xml:space="preserve"> </w:t>
      </w:r>
      <w:r>
        <w:rPr>
          <w:rFonts w:hint="eastAsia" w:ascii="宋体" w:hAnsi="宋体"/>
          <w:color w:val="000000" w:themeColor="text1"/>
          <w:sz w:val="36"/>
          <w:highlight w:val="none"/>
          <w14:textFill>
            <w14:solidFill>
              <w14:schemeClr w14:val="tx1"/>
            </w14:solidFill>
          </w14:textFill>
        </w:rPr>
        <w:t xml:space="preserve">投标文件格式</w:t>
      </w:r>
      <w:bookmarkEnd w:id="46"/>
      <w:r>
        <w:rPr>
          <w:rFonts w:ascii="宋体" w:hAnsi="宋体"/>
          <w:color w:val="000000" w:themeColor="text1"/>
          <w:sz w:val="36"/>
          <w:highlight w:val="none"/>
          <w14:textFill>
            <w14:solidFill>
              <w14:schemeClr w14:val="tx1"/>
            </w14:solidFill>
          </w14:textFill>
        </w:rPr>
        <w:t xml:space="preserve"> </w:t>
      </w:r>
      <w:r/>
    </w:p>
    <w:p>
      <w:pPr>
        <w:rPr>
          <w:rFonts w:ascii="黑体" w:eastAsia="黑体"/>
          <w:bCs/>
          <w:color w:val="000000" w:themeColor="text1"/>
          <w:sz w:val="44"/>
          <w:highlight w:val="none"/>
          <w14:textFill>
            <w14:solidFill>
              <w14:schemeClr w14:val="tx1"/>
            </w14:solidFill>
          </w14:textFill>
        </w:rPr>
      </w:pPr>
      <w:r>
        <w:rPr>
          <w:rFonts w:ascii="黑体" w:eastAsia="黑体"/>
          <w:bCs/>
          <w:color w:val="000000" w:themeColor="text1"/>
          <w:sz w:val="44"/>
          <w:highlight w:val="none"/>
          <w14:textFill>
            <w14:solidFill>
              <w14:schemeClr w14:val="tx1"/>
            </w14:solidFill>
          </w14:textFill>
        </w:rPr>
      </w:r>
      <w:r/>
    </w:p>
    <w:p>
      <w:pPr>
        <w:jc w:val="center"/>
        <w:rPr>
          <w:rFonts w:asci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w:t>
      </w:r>
      <w:r>
        <w:rPr>
          <w:rFonts w:ascii="宋体" w:hAnsi="宋体"/>
          <w:b/>
          <w:color w:val="000000" w:themeColor="text1"/>
          <w:sz w:val="72"/>
          <w:highlight w:val="none"/>
          <w14:textFill>
            <w14:solidFill>
              <w14:schemeClr w14:val="tx1"/>
            </w14:solidFill>
          </w14:textFill>
        </w:rPr>
        <w:t xml:space="preserve">  </w:t>
      </w:r>
      <w:r>
        <w:rPr>
          <w:rFonts w:hint="eastAsia" w:ascii="宋体" w:hAnsi="宋体"/>
          <w:b/>
          <w:color w:val="000000" w:themeColor="text1"/>
          <w:sz w:val="72"/>
          <w:highlight w:val="none"/>
          <w14:textFill>
            <w14:solidFill>
              <w14:schemeClr w14:val="tx1"/>
            </w14:solidFill>
          </w14:textFill>
        </w:rPr>
        <w:t xml:space="preserve">标</w:t>
      </w:r>
      <w:r>
        <w:rPr>
          <w:rFonts w:ascii="宋体" w:hAnsi="宋体"/>
          <w:b/>
          <w:color w:val="000000" w:themeColor="text1"/>
          <w:sz w:val="72"/>
          <w:highlight w:val="none"/>
          <w14:textFill>
            <w14:solidFill>
              <w14:schemeClr w14:val="tx1"/>
            </w14:solidFill>
          </w14:textFill>
        </w:rPr>
        <w:t xml:space="preserve">  </w:t>
      </w:r>
      <w:r>
        <w:rPr>
          <w:rFonts w:hint="eastAsia" w:ascii="宋体" w:hAnsi="宋体"/>
          <w:b/>
          <w:color w:val="000000" w:themeColor="text1"/>
          <w:sz w:val="72"/>
          <w:highlight w:val="none"/>
          <w14:textFill>
            <w14:solidFill>
              <w14:schemeClr w14:val="tx1"/>
            </w14:solidFill>
          </w14:textFill>
        </w:rPr>
        <w:t xml:space="preserve">文</w:t>
      </w:r>
      <w:r>
        <w:rPr>
          <w:rFonts w:ascii="宋体" w:hAnsi="宋体"/>
          <w:b/>
          <w:color w:val="000000" w:themeColor="text1"/>
          <w:sz w:val="72"/>
          <w:highlight w:val="none"/>
          <w14:textFill>
            <w14:solidFill>
              <w14:schemeClr w14:val="tx1"/>
            </w14:solidFill>
          </w14:textFill>
        </w:rPr>
        <w:t xml:space="preserve">  </w:t>
      </w:r>
      <w:r>
        <w:rPr>
          <w:rFonts w:hint="eastAsia" w:ascii="宋体" w:hAnsi="宋体"/>
          <w:b/>
          <w:color w:val="000000" w:themeColor="text1"/>
          <w:sz w:val="72"/>
          <w:highlight w:val="none"/>
          <w14:textFill>
            <w14:solidFill>
              <w14:schemeClr w14:val="tx1"/>
            </w14:solidFill>
          </w14:textFill>
        </w:rPr>
        <w:t xml:space="preserve">件</w:t>
      </w:r>
      <w:r/>
    </w:p>
    <w:p>
      <w:pPr>
        <w:jc w:val="center"/>
        <w:rPr>
          <w:rFonts w:ascii="宋体"/>
          <w:b/>
          <w:color w:val="000000" w:themeColor="text1"/>
          <w:sz w:val="72"/>
          <w:highlight w:val="none"/>
          <w14:textFill>
            <w14:solidFill>
              <w14:schemeClr w14:val="tx1"/>
            </w14:solidFill>
          </w14:textFill>
        </w:rPr>
      </w:pPr>
      <w:r>
        <w:rPr>
          <w:rFonts w:ascii="宋体"/>
          <w:b/>
          <w:color w:val="000000" w:themeColor="text1"/>
          <w:sz w:val="72"/>
          <w:highlight w:val="none"/>
          <w14:textFill>
            <w14:solidFill>
              <w14:schemeClr w14:val="tx1"/>
            </w14:solidFill>
          </w14:textFill>
        </w:rPr>
      </w:r>
      <w:r/>
    </w:p>
    <w:p>
      <w:pPr>
        <w:jc w:val="center"/>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jc w:val="center"/>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jc w:val="center"/>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jc w:val="center"/>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ind w:firstLine="1084"/>
        <w:rPr>
          <w:rFonts w:asci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目</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名</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称：</w:t>
      </w:r>
      <w:r>
        <w:rPr>
          <w:rFonts w:ascii="宋体" w:hAnsi="宋体"/>
          <w:b/>
          <w:color w:val="000000" w:themeColor="text1"/>
          <w:sz w:val="36"/>
          <w:highlight w:val="none"/>
          <w:u w:val="single"/>
          <w14:textFill>
            <w14:solidFill>
              <w14:schemeClr w14:val="tx1"/>
            </w14:solidFill>
          </w14:textFill>
        </w:rPr>
        <w:t xml:space="preserve">               </w:t>
      </w:r>
      <w:r/>
    </w:p>
    <w:p>
      <w:pPr>
        <w:ind w:firstLine="1084"/>
        <w:rPr>
          <w:rFonts w:asci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招</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标</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编</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号：</w:t>
      </w:r>
      <w:r>
        <w:rPr>
          <w:rFonts w:ascii="宋体" w:hAnsi="宋体"/>
          <w:b/>
          <w:color w:val="000000" w:themeColor="text1"/>
          <w:sz w:val="36"/>
          <w:highlight w:val="none"/>
          <w:u w:val="single"/>
          <w14:textFill>
            <w14:solidFill>
              <w14:schemeClr w14:val="tx1"/>
            </w14:solidFill>
          </w14:textFill>
        </w:rPr>
        <w:t xml:space="preserve">               </w:t>
      </w:r>
      <w:r/>
    </w:p>
    <w:p>
      <w:pPr>
        <w:rPr>
          <w:rFonts w:ascii="宋体"/>
          <w:b/>
          <w:color w:val="000000" w:themeColor="text1"/>
          <w:sz w:val="36"/>
          <w:highlight w:val="none"/>
          <w:u w:val="single"/>
          <w14:textFill>
            <w14:solidFill>
              <w14:schemeClr w14:val="tx1"/>
            </w14:solidFill>
          </w14:textFill>
        </w:rPr>
      </w:pP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投标人名称</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w:t>
      </w:r>
      <w:r>
        <w:rPr>
          <w:rFonts w:ascii="宋体" w:hAnsi="宋体"/>
          <w:b/>
          <w:color w:val="000000" w:themeColor="text1"/>
          <w:sz w:val="36"/>
          <w:highlight w:val="none"/>
          <w:u w:val="single"/>
          <w14:textFill>
            <w14:solidFill>
              <w14:schemeClr w14:val="tx1"/>
            </w14:solidFill>
          </w14:textFill>
        </w:rPr>
        <w:t xml:space="preserve">               </w:t>
      </w:r>
      <w:r/>
    </w:p>
    <w:p>
      <w:pPr>
        <w:rPr>
          <w:rFonts w:ascii="宋体"/>
          <w:b/>
          <w:color w:val="000000" w:themeColor="text1"/>
          <w:sz w:val="36"/>
          <w:highlight w:val="none"/>
          <w:u w:val="single"/>
          <w14:textFill>
            <w14:solidFill>
              <w14:schemeClr w14:val="tx1"/>
            </w14:solidFill>
          </w14:textFill>
        </w:rPr>
      </w:pP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日</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期</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w:t>
      </w:r>
      <w:r>
        <w:rPr>
          <w:rFonts w:ascii="宋体" w:hAnsi="宋体"/>
          <w:b/>
          <w:color w:val="000000" w:themeColor="text1"/>
          <w:sz w:val="36"/>
          <w:highlight w:val="none"/>
          <w:u w:val="single"/>
          <w14:textFill>
            <w14:solidFill>
              <w14:schemeClr w14:val="tx1"/>
            </w14:solidFill>
          </w14:textFill>
        </w:rPr>
        <w:t xml:space="preserve">               </w:t>
      </w:r>
      <w:r/>
    </w:p>
    <w:p>
      <w:pPr>
        <w:ind w:firstLine="1084"/>
        <w:rPr>
          <w:rFonts w:asci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投</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标</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人：</w:t>
      </w:r>
      <w:r>
        <w:rPr>
          <w:rFonts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（电子签章）</w:t>
      </w:r>
      <w:r/>
    </w:p>
    <w:p>
      <w:pPr>
        <w:jc w:val="center"/>
        <w:spacing w:line="44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jc w:val="center"/>
        <w:spacing w:line="44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spacing w:line="44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jc w:val="center"/>
        <w:spacing w:line="440" w:lineRule="exact"/>
        <w:rPr>
          <w:rFonts w:asci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投标主要文件目录</w:t>
      </w:r>
      <w:r/>
    </w:p>
    <w:p>
      <w:pPr>
        <w:jc w:val="center"/>
        <w:spacing w:line="44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一、资格审查响应对照表</w:t>
      </w:r>
      <w:r/>
    </w:p>
    <w:p>
      <w:pPr>
        <w:ind w:left="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二、符合性审查响应对照表</w:t>
      </w:r>
      <w:r/>
    </w:p>
    <w:p>
      <w:pPr>
        <w:ind w:left="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三、非实质性响应对照表</w:t>
      </w:r>
      <w:r/>
    </w:p>
    <w:p>
      <w:pPr>
        <w:ind w:firstLine="480"/>
        <w:spacing w:line="360" w:lineRule="auto"/>
        <w:rPr>
          <w:rFonts w:asci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i/>
          <w:color w:val="000000" w:themeColor="text1"/>
          <w:sz w:val="24"/>
          <w:highlight w:val="none"/>
          <w:u w:val="single"/>
          <w14:textFill>
            <w14:solidFill>
              <w14:schemeClr w14:val="tx1"/>
            </w14:solidFill>
          </w14:textFill>
        </w:rPr>
        <w:t xml:space="preserve">开标一览表</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五、投标配置与分项报价表</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技术参数响应及偏离表</w:t>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七、商务条款响应及偏离表</w:t>
      </w:r>
      <w:r/>
    </w:p>
    <w:p>
      <w:pPr>
        <w:ind w:firstLine="480"/>
        <w:spacing w:line="360" w:lineRule="auto"/>
        <w:rPr>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八、其他</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（投标人认为有必要提供的声明和文件，如有自拟并自行添加）</w:t>
      </w:r>
      <w:r/>
    </w:p>
    <w:p>
      <w:pPr>
        <w:contextualSpacing/>
        <w:jc w:val="center"/>
        <w:rPr>
          <w:rFonts w:ascii="宋体"/>
          <w:b/>
          <w:color w:val="000000" w:themeColor="text1"/>
          <w:sz w:val="72"/>
          <w:highlight w:val="none"/>
          <w14:textFill>
            <w14:solidFill>
              <w14:schemeClr w14:val="tx1"/>
            </w14:solidFill>
          </w14:textFill>
        </w:rPr>
      </w:pPr>
      <w:r>
        <w:rPr>
          <w:rFonts w:ascii="宋体"/>
          <w:b/>
          <w:color w:val="000000" w:themeColor="text1"/>
          <w:sz w:val="72"/>
          <w:highlight w:val="none"/>
          <w14:textFill>
            <w14:solidFill>
              <w14:schemeClr w14:val="tx1"/>
            </w14:solidFill>
          </w14:textFill>
        </w:rPr>
      </w:r>
      <w:r/>
    </w:p>
    <w:p>
      <w:pPr>
        <w:contextualSpacing/>
        <w:jc w:val="center"/>
        <w:spacing w:line="600" w:lineRule="exact"/>
        <w:rPr>
          <w:rFonts w:ascii="宋体"/>
          <w:b/>
          <w:color w:val="000000" w:themeColor="text1"/>
          <w:sz w:val="72"/>
          <w:highlight w:val="none"/>
          <w14:textFill>
            <w14:solidFill>
              <w14:schemeClr w14:val="tx1"/>
            </w14:solidFill>
          </w14:textFill>
        </w:rPr>
      </w:pPr>
      <w:r>
        <w:rPr>
          <w:rFonts w:ascii="宋体"/>
          <w:b/>
          <w:color w:val="000000" w:themeColor="text1"/>
          <w:sz w:val="72"/>
          <w:highlight w:val="none"/>
          <w14:textFill>
            <w14:solidFill>
              <w14:schemeClr w14:val="tx1"/>
            </w14:solidFill>
          </w14:textFill>
        </w:rPr>
      </w:r>
      <w:r/>
    </w:p>
    <w:p>
      <w:pPr>
        <w:contextualSpacing/>
        <w:jc w:val="center"/>
        <w:spacing w:line="600" w:lineRule="exact"/>
        <w:rPr>
          <w:rFonts w:ascii="宋体"/>
          <w:b/>
          <w:color w:val="000000" w:themeColor="text1"/>
          <w:sz w:val="72"/>
          <w:highlight w:val="none"/>
          <w14:textFill>
            <w14:solidFill>
              <w14:schemeClr w14:val="tx1"/>
            </w14:solidFill>
          </w14:textFill>
        </w:rPr>
      </w:pPr>
      <w:r>
        <w:rPr>
          <w:rFonts w:ascii="宋体"/>
          <w:b/>
          <w:color w:val="000000" w:themeColor="text1"/>
          <w:sz w:val="72"/>
          <w:highlight w:val="none"/>
          <w14:textFill>
            <w14:solidFill>
              <w14:schemeClr w14:val="tx1"/>
            </w14:solidFill>
          </w14:textFill>
        </w:rPr>
      </w:r>
      <w:r/>
    </w:p>
    <w:p>
      <w:pPr>
        <w:contextualSpacing/>
        <w:spacing w:line="600" w:lineRule="exact"/>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contextualSpacing/>
        <w:spacing w:line="600" w:lineRule="exact"/>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contextualSpacing/>
        <w:spacing w:line="600" w:lineRule="exact"/>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contextualSpacing/>
        <w:spacing w:line="600" w:lineRule="exact"/>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contextualSpacing/>
        <w:spacing w:line="600" w:lineRule="exact"/>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contextualSpacing/>
        <w:spacing w:line="600" w:lineRule="exact"/>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contextualSpacing/>
        <w:spacing w:line="600" w:lineRule="exact"/>
        <w:rPr>
          <w:rFonts w:ascii="宋体"/>
          <w:b/>
          <w:color w:val="000000" w:themeColor="text1"/>
          <w:sz w:val="36"/>
          <w:highlight w:val="none"/>
          <w14:textFill>
            <w14:solidFill>
              <w14:schemeClr w14:val="tx1"/>
            </w14:solidFill>
          </w14:textFill>
        </w:rPr>
      </w:pPr>
      <w:r>
        <w:rPr>
          <w:rFonts w:ascii="宋体"/>
          <w:b/>
          <w:color w:val="000000" w:themeColor="text1"/>
          <w:sz w:val="36"/>
          <w:highlight w:val="none"/>
          <w14:textFill>
            <w14:solidFill>
              <w14:schemeClr w14:val="tx1"/>
            </w14:solidFill>
          </w14:textFill>
        </w:rPr>
      </w:r>
      <w:r/>
    </w:p>
    <w:p>
      <w:pP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r>
      <w:r/>
    </w:p>
    <w:p>
      <w:pPr>
        <w:jc w:val="cente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一、资格审查响应对照表</w:t>
      </w:r>
      <w:r/>
    </w:p>
    <w:tbl>
      <w:tblPr>
        <w:tblStyle w:val="8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rPr>
                <w:rFonts w:asci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asci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法人或者其他组织的营业执照等证明文件，自然人的身份证明</w:t>
            </w:r>
            <w:r>
              <w:rPr>
                <w:rFonts w:hint="eastAsia" w:ascii="宋体" w:hAnsi="宋体"/>
                <w:color w:val="000000" w:themeColor="text1"/>
                <w:szCs w:val="21"/>
                <w:highlight w:val="none"/>
                <w14:textFill>
                  <w14:solidFill>
                    <w14:schemeClr w14:val="tx1"/>
                  </w14:solidFill>
                </w14:textFill>
              </w:rPr>
              <w:t xml:space="preserve">（身份证为正、反面）</w:t>
            </w:r>
            <w:r/>
          </w:p>
        </w:tc>
        <w:tc>
          <w:tcPr>
            <w:tcW w:w="2158" w:type="dxa"/>
            <w:vAlign w:val="center"/>
            <w:textDirection w:val="lrTb"/>
            <w:noWrap w:val="false"/>
          </w:tcPr>
          <w:p>
            <w:pPr>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依法缴纳职工社会保障资金的证明材料</w:t>
            </w:r>
            <w:r>
              <w:rPr>
                <w:rFonts w:hint="eastAsia" w:ascii="宋体" w:hAnsi="宋体" w:cs="宋体"/>
                <w:b/>
                <w:bCs/>
                <w:color w:val="000000" w:themeColor="text1"/>
                <w:szCs w:val="21"/>
                <w:highlight w:val="none"/>
                <w14:textFill>
                  <w14:solidFill>
                    <w14:schemeClr w14:val="tx1"/>
                  </w14:solidFill>
                </w14:textFill>
              </w:rPr>
              <w:t xml:space="preserve">（可提供“基本资格条件承诺函”）</w:t>
            </w:r>
            <w:r/>
          </w:p>
        </w:tc>
        <w:tc>
          <w:tcPr>
            <w:tcW w:w="215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asci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投标人近三个月内任意一份依法纳税的缴款凭证</w:t>
            </w:r>
            <w:r>
              <w:rPr>
                <w:rFonts w:hint="eastAsia" w:ascii="宋体" w:hAnsi="宋体" w:cs="宋体"/>
                <w:b/>
                <w:bCs/>
                <w:color w:val="000000" w:themeColor="text1"/>
                <w:szCs w:val="21"/>
                <w:highlight w:val="none"/>
                <w14:textFill>
                  <w14:solidFill>
                    <w14:schemeClr w14:val="tx1"/>
                  </w14:solidFill>
                </w14:textFill>
              </w:rPr>
              <w:t xml:space="preserve">（可提供“基本资格条件承诺函”）</w:t>
            </w:r>
            <w:r/>
          </w:p>
        </w:tc>
        <w:tc>
          <w:tcPr>
            <w:tcW w:w="215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asci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上一年度的财务状况情况</w:t>
            </w:r>
            <w:r>
              <w:rPr>
                <w:rFonts w:hint="eastAsia" w:ascii="宋体" w:hAnsi="宋体" w:cs="宋体"/>
                <w:b/>
                <w:bCs/>
                <w:color w:val="000000" w:themeColor="text1"/>
                <w:szCs w:val="21"/>
                <w:highlight w:val="none"/>
                <w14:textFill>
                  <w14:solidFill>
                    <w14:schemeClr w14:val="tx1"/>
                  </w14:solidFill>
                </w14:textFill>
              </w:rPr>
              <w:t xml:space="preserve">（成立不满一年不需提供）（可提供“基本资格条件承诺函”）</w:t>
            </w:r>
            <w:r/>
          </w:p>
        </w:tc>
        <w:tc>
          <w:tcPr>
            <w:tcW w:w="215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asci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具备履行合同所必需的设备和专业技术能力的证明材料</w:t>
            </w:r>
            <w:r>
              <w:rPr>
                <w:rFonts w:hint="eastAsia" w:ascii="宋体" w:hAnsi="宋体" w:cs="宋体"/>
                <w:b/>
                <w:bCs/>
                <w:color w:val="000000" w:themeColor="text1"/>
                <w:szCs w:val="21"/>
                <w:highlight w:val="none"/>
                <w14:textFill>
                  <w14:solidFill>
                    <w14:schemeClr w14:val="tx1"/>
                  </w14:solidFill>
                </w14:textFill>
              </w:rPr>
              <w:t xml:space="preserve">（可提供“基本资格条件承诺函”）</w:t>
            </w:r>
            <w:r/>
          </w:p>
        </w:tc>
        <w:tc>
          <w:tcPr>
            <w:tcW w:w="215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p>
        </w:tc>
        <w:tc>
          <w:tcPr>
            <w:tcW w:w="5447" w:type="dxa"/>
            <w:vAlign w:val="center"/>
            <w:textDirection w:val="lrTb"/>
            <w:noWrap w:val="false"/>
          </w:tcPr>
          <w:p>
            <w:pPr>
              <w:spacing w:line="360" w:lineRule="auto"/>
              <w:rPr>
                <w:rFonts w:ascii="宋体"/>
                <w:i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参加本次政府采购活动前</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年内在经营活动中没有重大违法记录的书面声明</w:t>
            </w:r>
            <w:r>
              <w:rPr>
                <w:rFonts w:hint="eastAsia" w:ascii="宋体" w:hAnsi="宋体" w:cs="宋体"/>
                <w:b/>
                <w:bCs/>
                <w:color w:val="000000" w:themeColor="text1"/>
                <w:szCs w:val="21"/>
                <w:highlight w:val="none"/>
                <w14:textFill>
                  <w14:solidFill>
                    <w14:schemeClr w14:val="tx1"/>
                  </w14:solidFill>
                </w14:textFill>
              </w:rPr>
              <w:t xml:space="preserve">（可提供“基本资格条件承诺函”）</w:t>
            </w:r>
            <w:r/>
          </w:p>
        </w:tc>
        <w:tc>
          <w:tcPr>
            <w:tcW w:w="215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p>
        </w:tc>
        <w:tc>
          <w:tcPr>
            <w:tcW w:w="5447"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未被“信用中国”网站（</w:t>
            </w:r>
            <w:r>
              <w:rPr>
                <w:rFonts w:ascii="宋体" w:hAnsi="宋体" w:cs="宋体"/>
                <w:color w:val="000000" w:themeColor="text1"/>
                <w:szCs w:val="21"/>
                <w:highlight w:val="none"/>
                <w14:textFill>
                  <w14:solidFill>
                    <w14:schemeClr w14:val="tx1"/>
                  </w14:solidFill>
                </w14:textFill>
              </w:rPr>
              <w:t xml:space="preserve">www.creditchina.gov.cn</w:t>
            </w:r>
            <w:r>
              <w:rPr>
                <w:rFonts w:hint="eastAsia" w:ascii="宋体" w:hAnsi="宋体" w:cs="宋体"/>
                <w:color w:val="000000" w:themeColor="text1"/>
                <w:szCs w:val="21"/>
                <w:highlight w:val="none"/>
                <w14:textFill>
                  <w14:solidFill>
                    <w14:schemeClr w14:val="tx1"/>
                  </w14:solidFill>
                </w14:textFill>
              </w:rPr>
              <w:t xml:space="preserve">）、“中国政府采购网</w:t>
            </w:r>
            <w:r>
              <w:rPr>
                <w:rFonts w:ascii="宋体" w:hAnsi="宋体" w:cs="宋体"/>
                <w:color w:val="000000" w:themeColor="text1"/>
                <w:szCs w:val="21"/>
                <w:highlight w:val="none"/>
                <w14:textFill>
                  <w14:solidFill>
                    <w14:schemeClr w14:val="tx1"/>
                  </w14:solidFill>
                </w14:textFill>
              </w:rPr>
              <w:t xml:space="preserve">"(www.ccgp.gov.cn)</w:t>
            </w:r>
            <w:r>
              <w:rPr>
                <w:rFonts w:hint="eastAsia" w:ascii="宋体" w:hAnsi="宋体" w:cs="宋体"/>
                <w:color w:val="000000" w:themeColor="text1"/>
                <w:szCs w:val="21"/>
                <w:highlight w:val="none"/>
                <w14:textFill>
                  <w14:solidFill>
                    <w14:schemeClr w14:val="tx1"/>
                  </w14:solidFill>
                </w14:textFill>
              </w:rPr>
              <w:t xml:space="preserve">列入失信被执行人、重大税收违法案件当事人名单、政府采购严重违法失信行为记录名单</w:t>
            </w:r>
            <w:r>
              <w:rPr>
                <w:rFonts w:hint="eastAsia" w:ascii="宋体" w:hAnsi="宋体" w:cs="宋体"/>
                <w:b/>
                <w:bCs/>
                <w:color w:val="000000" w:themeColor="text1"/>
                <w:szCs w:val="21"/>
                <w:highlight w:val="none"/>
                <w14:textFill>
                  <w14:solidFill>
                    <w14:schemeClr w14:val="tx1"/>
                  </w14:solidFill>
                </w14:textFill>
              </w:rPr>
              <w:t xml:space="preserve">（可提供“基本资格条件承诺函”）</w:t>
            </w:r>
            <w:r/>
          </w:p>
        </w:tc>
        <w:tc>
          <w:tcPr>
            <w:tcW w:w="215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w:t>
            </w:r>
            <w:r/>
          </w:p>
        </w:tc>
        <w:tc>
          <w:tcPr>
            <w:tcW w:w="5447"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供应商信用承诺函</w:t>
            </w:r>
            <w:r/>
          </w:p>
        </w:tc>
        <w:tc>
          <w:tcPr>
            <w:tcW w:w="215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90"/>
        </w:trPr>
        <w:tc>
          <w:tcPr>
            <w:gridSpan w:val="3"/>
            <w:tcW w:w="8251" w:type="dxa"/>
            <w:vAlign w:val="center"/>
            <w:textDirection w:val="lrTb"/>
            <w:noWrap w:val="false"/>
          </w:tcPr>
          <w:p>
            <w:pPr>
              <w:rPr>
                <w:rFonts w:asci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9</w:t>
            </w:r>
            <w:r/>
          </w:p>
        </w:tc>
        <w:tc>
          <w:tcPr>
            <w:tcW w:w="5447" w:type="dxa"/>
            <w:vAlign w:val="center"/>
            <w:textDirection w:val="lrTb"/>
            <w:noWrap w:val="false"/>
          </w:tcPr>
          <w:p>
            <w:pPr>
              <w:pStyle w:val="1041"/>
              <w:spacing w:before="0" w:after="0" w:line="360" w:lineRule="auto"/>
              <w:rPr>
                <w:bCs/>
                <w:color w:val="000000" w:themeColor="text1"/>
                <w:szCs w:val="32"/>
                <w:highlight w:val="none"/>
                <w14:textFill>
                  <w14:solidFill>
                    <w14:schemeClr w14:val="tx1"/>
                  </w14:solidFill>
                </w14:textFill>
              </w:rPr>
            </w:pPr>
            <w:r/>
            <w:bookmarkStart w:id="47" w:name="_Toc26829"/>
            <w:r/>
            <w:bookmarkStart w:id="48" w:name="_Toc19421"/>
            <w:r>
              <w:rPr>
                <w:rFonts w:hint="eastAsia" w:ascii="宋体" w:hAnsi="宋体" w:cs="宋体"/>
                <w:b w:val="0"/>
                <w:color w:val="000000" w:themeColor="text1"/>
                <w:sz w:val="21"/>
                <w:szCs w:val="21"/>
                <w:highlight w:val="none"/>
                <w14:textFill>
                  <w14:solidFill>
                    <w14:schemeClr w14:val="tx1"/>
                  </w14:solidFill>
                </w14:textFill>
              </w:rPr>
              <w:t xml:space="preserve">根据《政府采购促进中小企业发展管理办法》的规定，本项目专门面向中小企业采购，投标人投标时须提供《中小企业声明函》，《中小企业声明函》不符合要求或未提供的，投标文件无效。</w:t>
            </w:r>
            <w:bookmarkEnd w:id="47"/>
            <w:r/>
            <w:bookmarkEnd w:id="48"/>
            <w:r/>
            <w:r/>
          </w:p>
        </w:tc>
        <w:tc>
          <w:tcPr>
            <w:tcW w:w="215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spacing w:line="360" w:lineRule="auto"/>
              <w:rPr>
                <w:rFonts w:asci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w:t>
            </w:r>
            <w:r/>
          </w:p>
        </w:tc>
        <w:tc>
          <w:tcPr>
            <w:tcW w:w="5447" w:type="dxa"/>
            <w:vAlign w:val="center"/>
            <w:textDirection w:val="lrTb"/>
            <w:noWrap w:val="false"/>
          </w:tcPr>
          <w:p>
            <w:pPr>
              <w:rPr>
                <w:rFonts w:asci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投标人需具备有效的《城市生活垃圾经营性清扫、收集、运输服务许可证》</w:t>
            </w:r>
            <w:r>
              <w:rPr>
                <w:rFonts w:ascii="宋体" w:hAnsi="宋体"/>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投标人提供证书原件扫描上传）</w:t>
            </w:r>
            <w:r/>
          </w:p>
        </w:tc>
        <w:tc>
          <w:tcPr>
            <w:tcW w:w="215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rPr>
                <w:rFonts w:asci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w:t>
            </w:r>
            <w:r/>
          </w:p>
        </w:tc>
        <w:tc>
          <w:tcPr>
            <w:tcW w:w="5447" w:type="dxa"/>
            <w:vAlign w:val="center"/>
            <w:textDirection w:val="lrTb"/>
            <w:noWrap w:val="false"/>
          </w:tcPr>
          <w:p>
            <w:pPr>
              <w:jc w:val="left"/>
              <w:spacing w:line="240" w:lineRule="atLeast"/>
              <w:rPr>
                <w:rFonts w:asci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投标函</w:t>
            </w:r>
            <w:r/>
          </w:p>
        </w:tc>
        <w:tc>
          <w:tcPr>
            <w:tcW w:w="215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12</w:t>
            </w:r>
            <w:r/>
          </w:p>
        </w:tc>
        <w:tc>
          <w:tcPr>
            <w:tcW w:w="5447" w:type="dxa"/>
            <w:vAlign w:val="center"/>
            <w:textDirection w:val="lrTb"/>
            <w:noWrap w:val="false"/>
          </w:tcPr>
          <w:p>
            <w:pPr>
              <w:jc w:val="left"/>
              <w:spacing w:line="240" w:lineRule="atLeast"/>
              <w:rPr>
                <w:rFonts w:asci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bl>
    <w:p>
      <w:pPr>
        <w:jc w:val="center"/>
        <w:spacing w:line="500" w:lineRule="exact"/>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br w:type="page" w:clear="all"/>
      </w:r>
      <w:r>
        <w:rPr>
          <w:rFonts w:hint="eastAsia" w:ascii="宋体" w:hAnsi="宋体"/>
          <w:b/>
          <w:color w:val="000000" w:themeColor="text1"/>
          <w:highlight w:val="none"/>
          <w14:textFill>
            <w14:solidFill>
              <w14:schemeClr w14:val="tx1"/>
            </w14:solidFill>
          </w14:textFill>
        </w:rPr>
        <w:t xml:space="preserve">基本资格条件承诺函</w:t>
      </w:r>
      <w:r/>
    </w:p>
    <w:p>
      <w:pPr>
        <w:spacing w:line="530" w:lineRule="exact"/>
        <w:tabs>
          <w:tab w:val="left" w:pos="630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20"/>
        <w:spacing w:line="560" w:lineRule="exact"/>
        <w:rPr>
          <w:rFonts w:asci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（采购代理机构名称）：</w:t>
      </w:r>
      <w:r/>
    </w:p>
    <w:p>
      <w:pPr>
        <w:ind w:firstLine="420"/>
        <w:spacing w:line="560" w:lineRule="exact"/>
        <w:rPr>
          <w:rFonts w:asci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我公司自愿参加</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（项目名称）政府采购活动，并郑重承诺：</w:t>
      </w:r>
      <w:r/>
    </w:p>
    <w:p>
      <w:pPr>
        <w:ind w:firstLine="420"/>
        <w:spacing w:line="560" w:lineRule="exact"/>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我方具有良好的商业信誉和健全的财务会计制度，具有履行合同所必需的设备和专业技术能力，具</w:t>
      </w:r>
      <w:r>
        <w:rPr>
          <w:rFonts w:hint="eastAsia" w:ascii="宋体" w:hAnsi="宋体"/>
          <w:color w:val="000000" w:themeColor="text1"/>
          <w:highlight w:val="none"/>
          <w:lang w:val="zh-CN"/>
          <w14:textFill>
            <w14:solidFill>
              <w14:schemeClr w14:val="tx1"/>
            </w14:solidFill>
          </w14:textFill>
        </w:rPr>
        <w:t xml:space="preserve">有依法缴纳税收和社会保障金的良好记录</w:t>
      </w:r>
      <w:r>
        <w:rPr>
          <w:rFonts w:hint="eastAsia" w:ascii="宋体" w:hAnsi="宋体"/>
          <w:color w:val="000000" w:themeColor="text1"/>
          <w:highlight w:val="none"/>
          <w14:textFill>
            <w14:solidFill>
              <w14:schemeClr w14:val="tx1"/>
            </w14:solidFill>
          </w14:textFill>
        </w:rPr>
        <w:t xml:space="preserve">，参加本项目采购活动前三年内无重大违法活动记录。</w:t>
      </w:r>
      <w:r/>
    </w:p>
    <w:p>
      <w:pPr>
        <w:ind w:firstLine="420"/>
        <w:spacing w:line="560" w:lineRule="exact"/>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我方未列入在信用中国网站（</w:t>
      </w:r>
      <w:r>
        <w:rPr>
          <w:rFonts w:ascii="宋体" w:hAnsi="宋体"/>
          <w:color w:val="000000" w:themeColor="text1"/>
          <w:highlight w:val="none"/>
          <w14:textFill>
            <w14:solidFill>
              <w14:schemeClr w14:val="tx1"/>
            </w14:solidFill>
          </w14:textFill>
        </w:rPr>
        <w:t xml:space="preserve">www.creditchina.gov.cn</w:t>
      </w:r>
      <w:r>
        <w:rPr>
          <w:rFonts w:hint="eastAsia" w:ascii="宋体" w:hAnsi="宋体"/>
          <w:color w:val="000000" w:themeColor="text1"/>
          <w:highlight w:val="none"/>
          <w14:textFill>
            <w14:solidFill>
              <w14:schemeClr w14:val="tx1"/>
            </w14:solidFill>
          </w14:textFill>
        </w:rPr>
        <w:t xml:space="preserve">）</w:t>
      </w:r>
      <w:r>
        <w:rPr>
          <w:rFonts w:hint="eastAsia" w:asci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失信被执行人</w:t>
      </w:r>
      <w:r>
        <w:rPr>
          <w:rFonts w:hint="eastAsia" w:asci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w:t>
      </w:r>
      <w:r>
        <w:rPr>
          <w:rFonts w:hint="eastAsia" w:asci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重大税收违法案件当事人名单</w:t>
      </w:r>
      <w:r>
        <w:rPr>
          <w:rFonts w:hint="eastAsia" w:asci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中，也未列入中国政府采购网（</w:t>
      </w:r>
      <w:r>
        <w:rPr>
          <w:rFonts w:ascii="宋体" w:hAnsi="宋体"/>
          <w:color w:val="000000" w:themeColor="text1"/>
          <w:highlight w:val="none"/>
          <w14:textFill>
            <w14:solidFill>
              <w14:schemeClr w14:val="tx1"/>
            </w14:solidFill>
          </w14:textFill>
        </w:rPr>
        <w:t xml:space="preserve">www.ccgp.gov.cn</w:t>
      </w:r>
      <w:r>
        <w:rPr>
          <w:rFonts w:hint="eastAsia" w:ascii="宋体" w:hAnsi="宋体"/>
          <w:color w:val="000000" w:themeColor="text1"/>
          <w:highlight w:val="none"/>
          <w14:textFill>
            <w14:solidFill>
              <w14:schemeClr w14:val="tx1"/>
            </w14:solidFill>
          </w14:textFill>
        </w:rPr>
        <w:t xml:space="preserve">）</w:t>
      </w:r>
      <w:r>
        <w:rPr>
          <w:rFonts w:hint="eastAsia" w:asci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政府采购严重违法失信行为记录名单</w:t>
      </w:r>
      <w:r>
        <w:rPr>
          <w:rFonts w:hint="eastAsia" w:asci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中。</w:t>
      </w:r>
      <w:r/>
    </w:p>
    <w:p>
      <w:pPr>
        <w:ind w:firstLine="420"/>
        <w:spacing w:line="560" w:lineRule="exact"/>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我方对以上承诺负全部法律责任。</w:t>
      </w:r>
      <w:r/>
    </w:p>
    <w:p>
      <w:pPr>
        <w:ind w:firstLine="420"/>
        <w:spacing w:line="560" w:lineRule="exact"/>
        <w:rPr>
          <w:rFonts w:asci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特此承诺。</w:t>
      </w:r>
      <w:r/>
    </w:p>
    <w:p>
      <w:pPr>
        <w:ind w:firstLine="420"/>
        <w:spacing w:line="560" w:lineRule="exact"/>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p>
      <w:pPr>
        <w:ind w:firstLine="420"/>
        <w:spacing w:line="560" w:lineRule="exact"/>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ind w:firstLine="1260"/>
        <w:jc w:val="center"/>
        <w:spacing w:line="560" w:lineRule="exact"/>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法定代表人（签章）：</w:t>
      </w:r>
      <w:r/>
    </w:p>
    <w:p>
      <w:pPr>
        <w:ind w:firstLine="420"/>
        <w:spacing w:line="560" w:lineRule="exact"/>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ind w:firstLine="420"/>
        <w:jc w:val="left"/>
        <w:spacing w:line="560" w:lineRule="exact"/>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供应商名称（签章）：</w:t>
      </w:r>
      <w:r/>
    </w:p>
    <w:p>
      <w:pPr>
        <w:ind w:firstLine="420"/>
        <w:spacing w:line="560" w:lineRule="exact"/>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p>
      <w:pPr>
        <w:ind w:firstLine="1470"/>
        <w:jc w:val="center"/>
        <w:spacing w:line="560" w:lineRule="exact"/>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日</w:t>
      </w:r>
      <w:r/>
    </w:p>
    <w:p>
      <w:pPr>
        <w:jc w:val="center"/>
        <w:spacing w:line="360" w:lineRule="auto"/>
        <w:rPr>
          <w:rFonts w:ascii="宋体"/>
          <w:b/>
          <w:bCs/>
          <w:color w:val="000000" w:themeColor="text1"/>
          <w:highlight w:val="none"/>
          <w14:textFill>
            <w14:solidFill>
              <w14:schemeClr w14:val="tx1"/>
            </w14:solidFill>
          </w14:textFill>
        </w:rPr>
      </w:pPr>
      <w:r>
        <w:rPr>
          <w:rFonts w:ascii="宋体"/>
          <w:b/>
          <w:bCs/>
          <w:color w:val="000000" w:themeColor="text1"/>
          <w:highlight w:val="none"/>
          <w14:textFill>
            <w14:solidFill>
              <w14:schemeClr w14:val="tx1"/>
            </w14:solidFill>
          </w14:textFill>
        </w:rPr>
      </w:r>
      <w:r/>
    </w:p>
    <w:p>
      <w:pPr>
        <w:jc w:val="center"/>
        <w:spacing w:line="360" w:lineRule="auto"/>
        <w:rPr>
          <w:rFonts w:ascii="宋体"/>
          <w:b/>
          <w:bCs/>
          <w:color w:val="000000" w:themeColor="text1"/>
          <w:highlight w:val="none"/>
          <w14:textFill>
            <w14:solidFill>
              <w14:schemeClr w14:val="tx1"/>
            </w14:solidFill>
          </w14:textFill>
        </w:rPr>
      </w:pPr>
      <w:r>
        <w:rPr>
          <w:rFonts w:ascii="宋体"/>
          <w:b/>
          <w:bCs/>
          <w:color w:val="000000" w:themeColor="text1"/>
          <w:highlight w:val="none"/>
          <w14:textFill>
            <w14:solidFill>
              <w14:schemeClr w14:val="tx1"/>
            </w14:solidFill>
          </w14:textFill>
        </w:rPr>
      </w:r>
      <w:r/>
    </w:p>
    <w:p>
      <w:pPr>
        <w:jc w:val="center"/>
        <w:spacing w:line="360" w:lineRule="auto"/>
        <w:rPr>
          <w:rFonts w:ascii="宋体"/>
          <w:b/>
          <w:bCs/>
          <w:color w:val="000000" w:themeColor="text1"/>
          <w:highlight w:val="none"/>
          <w14:textFill>
            <w14:solidFill>
              <w14:schemeClr w14:val="tx1"/>
            </w14:solidFill>
          </w14:textFill>
        </w:rPr>
      </w:pPr>
      <w:r>
        <w:rPr>
          <w:rFonts w:ascii="宋体"/>
          <w:b/>
          <w:bCs/>
          <w:color w:val="000000" w:themeColor="text1"/>
          <w:highlight w:val="none"/>
          <w14:textFill>
            <w14:solidFill>
              <w14:schemeClr w14:val="tx1"/>
            </w14:solidFill>
          </w14:textFill>
        </w:rPr>
      </w:r>
      <w:r/>
    </w:p>
    <w:p>
      <w:pPr>
        <w:jc w:val="center"/>
        <w:spacing w:line="360" w:lineRule="auto"/>
        <w:rPr>
          <w:rFonts w:ascii="宋体"/>
          <w:b/>
          <w:bCs/>
          <w:color w:val="000000" w:themeColor="text1"/>
          <w:highlight w:val="none"/>
          <w14:textFill>
            <w14:solidFill>
              <w14:schemeClr w14:val="tx1"/>
            </w14:solidFill>
          </w14:textFill>
        </w:rPr>
      </w:pPr>
      <w:r>
        <w:rPr>
          <w:rFonts w:ascii="宋体"/>
          <w:b/>
          <w:bCs/>
          <w:color w:val="000000" w:themeColor="text1"/>
          <w:highlight w:val="none"/>
          <w14:textFill>
            <w14:solidFill>
              <w14:schemeClr w14:val="tx1"/>
            </w14:solidFill>
          </w14:textFill>
        </w:rPr>
      </w:r>
      <w:r/>
    </w:p>
    <w:p>
      <w:pPr>
        <w:jc w:val="center"/>
        <w:spacing w:line="500" w:lineRule="exact"/>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供应商信用承诺书</w:t>
      </w:r>
      <w:r/>
    </w:p>
    <w:p>
      <w:pPr>
        <w:spacing w:line="500" w:lineRule="exact"/>
        <w:rPr>
          <w:rFonts w:ascii="????_GBK"/>
          <w:color w:val="000000" w:themeColor="text1"/>
          <w:szCs w:val="32"/>
          <w:highlight w:val="none"/>
          <w14:textFill>
            <w14:solidFill>
              <w14:schemeClr w14:val="tx1"/>
            </w14:solidFill>
          </w14:textFill>
        </w:rPr>
      </w:pPr>
      <w:r>
        <w:rPr>
          <w:rFonts w:ascii="????_GBK"/>
          <w:color w:val="000000" w:themeColor="text1"/>
          <w:szCs w:val="32"/>
          <w:highlight w:val="none"/>
          <w14:textFill>
            <w14:solidFill>
              <w14:schemeClr w14:val="tx1"/>
            </w14:solidFill>
          </w14:textFill>
        </w:rPr>
      </w:r>
      <w:r/>
    </w:p>
    <w:p>
      <w:pPr>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承诺主体名称：</w:t>
      </w:r>
      <w:r/>
    </w:p>
    <w:p>
      <w:pPr>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统一社会信用代码：</w:t>
      </w:r>
      <w:r/>
    </w:p>
    <w:p>
      <w:pPr>
        <w:spacing w:line="56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20"/>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w:t>
      </w:r>
      <w:r>
        <w:rPr>
          <w:rFonts w:ascii="宋体" w:hAnsi="宋体"/>
          <w:color w:val="000000" w:themeColor="text1"/>
          <w:szCs w:val="21"/>
          <w:highlight w:val="none"/>
          <w14:textFill>
            <w14:solidFill>
              <w14:schemeClr w14:val="tx1"/>
            </w14:solidFill>
          </w14:textFill>
        </w:rPr>
        <w:t xml:space="preserve">________________________</w:t>
      </w:r>
      <w:r>
        <w:rPr>
          <w:rFonts w:hint="eastAsia" w:ascii="宋体" w:hAnsi="宋体"/>
          <w:color w:val="000000" w:themeColor="text1"/>
          <w:szCs w:val="21"/>
          <w:highlight w:val="none"/>
          <w14:textFill>
            <w14:solidFill>
              <w14:schemeClr w14:val="tx1"/>
            </w14:solidFill>
          </w14:textFill>
        </w:rPr>
        <w:t xml:space="preserve">项目政府采购活动郑重承诺如下</w:t>
      </w:r>
      <w:r>
        <w:rPr>
          <w:rFonts w:ascii="宋体" w:hAnsi="宋体"/>
          <w:color w:val="000000" w:themeColor="text1"/>
          <w:szCs w:val="21"/>
          <w:highlight w:val="none"/>
          <w14:textFill>
            <w14:solidFill>
              <w14:schemeClr w14:val="tx1"/>
            </w14:solidFill>
          </w14:textFill>
        </w:rPr>
        <w:t xml:space="preserve">:</w:t>
      </w:r>
      <w:r/>
    </w:p>
    <w:p>
      <w:pPr>
        <w:ind w:firstLine="420"/>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themeColor="text1"/>
          <w:szCs w:val="21"/>
          <w:highlight w:val="none"/>
          <w14:textFill>
            <w14:solidFill>
              <w14:schemeClr w14:val="tx1"/>
            </w14:solidFill>
          </w14:textFill>
        </w:rPr>
        <w:t xml:space="preserve">;</w:t>
      </w:r>
      <w:r/>
    </w:p>
    <w:p>
      <w:pPr>
        <w:ind w:firstLine="420"/>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六、提出政府采购质疑和投诉坚持依法依规、诚实信用原则，在全国范围</w:t>
      </w:r>
      <w:r>
        <w:rPr>
          <w:rFonts w:ascii="宋体" w:hAnsi="宋体"/>
          <w:color w:val="000000" w:themeColor="text1"/>
          <w:szCs w:val="21"/>
          <w:highlight w:val="none"/>
          <w14:textFill>
            <w14:solidFill>
              <w14:schemeClr w14:val="tx1"/>
            </w14:solidFill>
          </w14:textFill>
        </w:rPr>
        <w:t xml:space="preserve">12</w:t>
      </w:r>
      <w:r>
        <w:rPr>
          <w:rFonts w:hint="eastAsia" w:ascii="宋体" w:hAnsi="宋体"/>
          <w:color w:val="000000" w:themeColor="text1"/>
          <w:szCs w:val="21"/>
          <w:highlight w:val="none"/>
          <w14:textFill>
            <w14:solidFill>
              <w14:schemeClr w14:val="tx1"/>
            </w14:solidFill>
          </w14:textFill>
        </w:rPr>
        <w:t xml:space="preserve">个月内没有三次以上查无实据的政府采购投诉；</w:t>
      </w:r>
      <w:r/>
    </w:p>
    <w:p>
      <w:pPr>
        <w:ind w:firstLine="420"/>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八、在“信用中国”和“中国政府采购网”网站中无重大违法违规、较重或严重失信记录；</w:t>
      </w:r>
      <w:r/>
    </w:p>
    <w:p>
      <w:pPr>
        <w:ind w:firstLine="420"/>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十、本承诺书自签订之日起生效。</w:t>
      </w:r>
      <w:r/>
    </w:p>
    <w:p>
      <w:pPr>
        <w:ind w:firstLine="420"/>
        <w:spacing w:line="56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（注：法定代表人或负责人、主体名称发生变更的应当重新做出承诺。）</w:t>
      </w:r>
      <w:r/>
    </w:p>
    <w:p>
      <w:pPr>
        <w:spacing w:line="56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jc w:val="center"/>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承诺单位（签章）：</w:t>
      </w:r>
      <w:r>
        <w:rPr>
          <w:rFonts w:asci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p>
    <w:p>
      <w:pPr>
        <w:jc w:val="center"/>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法定代表人（负责人）：</w:t>
      </w:r>
      <w:r/>
    </w:p>
    <w:p>
      <w:pPr>
        <w:jc w:val="center"/>
        <w:spacing w:line="56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年</w:t>
      </w:r>
      <w:r>
        <w:rPr>
          <w:rFonts w:asci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right="640"/>
        <w:jc w:val="center"/>
        <w:spacing w:line="360" w:lineRule="auto"/>
        <w:rPr>
          <w:rFonts w:ascii="仿宋" w:hAnsi="仿宋" w:eastAsia="仿宋"/>
          <w:color w:val="000000" w:themeColor="text1"/>
          <w:sz w:val="30"/>
          <w:szCs w:val="30"/>
          <w:highlight w:val="none"/>
          <w14:textFill>
            <w14:solidFill>
              <w14:schemeClr w14:val="tx1"/>
            </w14:solidFill>
          </w14:textFill>
        </w:rPr>
      </w:pPr>
      <w:r>
        <w:rPr>
          <w:rFonts w:ascii="仿宋" w:hAnsi="仿宋" w:eastAsia="仿宋"/>
          <w:color w:val="000000" w:themeColor="text1"/>
          <w:sz w:val="30"/>
          <w:szCs w:val="30"/>
          <w:highlight w:val="none"/>
          <w14:textFill>
            <w14:solidFill>
              <w14:schemeClr w14:val="tx1"/>
            </w14:solidFill>
          </w14:textFill>
        </w:rPr>
      </w:r>
      <w:r/>
    </w:p>
    <w:p>
      <w:pPr>
        <w:jc w:val="center"/>
        <w:spacing w:line="500" w:lineRule="exact"/>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p>
      <w:pPr>
        <w:spacing w:line="560" w:lineRule="exact"/>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p>
      <w:pPr>
        <w:spacing w:line="560" w:lineRule="exact"/>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p>
      <w:pPr>
        <w:spacing w:line="560" w:lineRule="exact"/>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p>
      <w:pPr>
        <w:jc w:val="center"/>
        <w:spacing w:line="360" w:lineRule="auto"/>
        <w:rPr>
          <w:rFonts w:ascii="宋体"/>
          <w:b/>
          <w:bCs/>
          <w:color w:val="000000" w:themeColor="text1"/>
          <w:highlight w:val="none"/>
          <w14:textFill>
            <w14:solidFill>
              <w14:schemeClr w14:val="tx1"/>
            </w14:solidFill>
          </w14:textFill>
        </w:rPr>
      </w:pPr>
      <w:r>
        <w:rPr>
          <w:rFonts w:ascii="宋体"/>
          <w:b/>
          <w:bCs/>
          <w:color w:val="000000" w:themeColor="text1"/>
          <w:highlight w:val="none"/>
          <w14:textFill>
            <w14:solidFill>
              <w14:schemeClr w14:val="tx1"/>
            </w14:solidFill>
          </w14:textFill>
        </w:rPr>
      </w:r>
      <w:r/>
    </w:p>
    <w:p>
      <w:pPr>
        <w:jc w:val="center"/>
        <w:spacing w:line="360" w:lineRule="auto"/>
        <w:rPr>
          <w:rFonts w:ascii="宋体"/>
          <w:b/>
          <w:bCs/>
          <w:color w:val="000000" w:themeColor="text1"/>
          <w:highlight w:val="none"/>
          <w14:textFill>
            <w14:solidFill>
              <w14:schemeClr w14:val="tx1"/>
            </w14:solidFill>
          </w14:textFill>
        </w:rPr>
      </w:pPr>
      <w:r>
        <w:rPr>
          <w:rFonts w:ascii="宋体"/>
          <w:b/>
          <w:bCs/>
          <w:color w:val="000000" w:themeColor="text1"/>
          <w:highlight w:val="none"/>
          <w14:textFill>
            <w14:solidFill>
              <w14:schemeClr w14:val="tx1"/>
            </w14:solidFill>
          </w14:textFill>
        </w:rPr>
      </w:r>
      <w:r/>
    </w:p>
    <w:p>
      <w:pPr>
        <w:jc w:val="center"/>
        <w:spacing w:line="360" w:lineRule="auto"/>
        <w:rPr>
          <w:rFonts w:ascii="宋体"/>
          <w:b/>
          <w:bCs/>
          <w:color w:val="000000" w:themeColor="text1"/>
          <w:highlight w:val="none"/>
          <w14:textFill>
            <w14:solidFill>
              <w14:schemeClr w14:val="tx1"/>
            </w14:solidFill>
          </w14:textFill>
        </w:rPr>
      </w:pPr>
      <w:r>
        <w:rPr>
          <w:rFonts w:ascii="宋体"/>
          <w:b/>
          <w:bCs/>
          <w:color w:val="000000" w:themeColor="text1"/>
          <w:highlight w:val="none"/>
          <w14:textFill>
            <w14:solidFill>
              <w14:schemeClr w14:val="tx1"/>
            </w14:solidFill>
          </w14:textFill>
        </w:rPr>
      </w:r>
      <w:r/>
    </w:p>
    <w:p>
      <w:pPr>
        <w:jc w:val="center"/>
        <w:spacing w:line="360" w:lineRule="auto"/>
        <w:rPr>
          <w:rFonts w:ascii="宋体"/>
          <w:b/>
          <w:bCs/>
          <w:color w:val="000000" w:themeColor="text1"/>
          <w:highlight w:val="none"/>
          <w14:textFill>
            <w14:solidFill>
              <w14:schemeClr w14:val="tx1"/>
            </w14:solidFill>
          </w14:textFill>
        </w:rPr>
      </w:pPr>
      <w:r>
        <w:rPr>
          <w:rFonts w:ascii="宋体"/>
          <w:b/>
          <w:bCs/>
          <w:color w:val="000000" w:themeColor="text1"/>
          <w:highlight w:val="none"/>
          <w14:textFill>
            <w14:solidFill>
              <w14:schemeClr w14:val="tx1"/>
            </w14:solidFill>
          </w14:textFill>
        </w:rPr>
        <w:br w:type="page" w:clear="all"/>
      </w:r>
      <w:r/>
    </w:p>
    <w:p>
      <w:pPr>
        <w:jc w:val="center"/>
        <w:spacing w:line="360" w:lineRule="auto"/>
        <w:rPr>
          <w:rFonts w:asci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投标函格式</w:t>
      </w:r>
      <w:r/>
    </w:p>
    <w:p>
      <w:pPr>
        <w:pStyle w:val="1068"/>
        <w:ind w:firstLine="0"/>
        <w:spacing w:before="0" w:after="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致：苏合邦筑工程咨询集团股份有限公司</w:t>
      </w:r>
      <w:r/>
    </w:p>
    <w:p>
      <w:pPr>
        <w:pStyle w:val="1068"/>
        <w:ind w:firstLine="420"/>
        <w:spacing w:before="0" w:after="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根据贵方的（）号招标文件，正式授权下述签字人</w:t>
      </w:r>
      <w:r>
        <w:rPr>
          <w:rFonts w:ascii="宋体" w:hAnsi="宋体"/>
          <w:color w:val="000000" w:themeColor="text1"/>
          <w:sz w:val="21"/>
          <w:szCs w:val="21"/>
          <w:highlight w:val="none"/>
          <w14:textFill>
            <w14:solidFill>
              <w14:schemeClr w14:val="tx1"/>
            </w14:solidFill>
          </w14:textFill>
        </w:rPr>
        <w:t xml:space="preserve">_________________(</w:t>
      </w:r>
      <w:r>
        <w:rPr>
          <w:rFonts w:hint="eastAsia" w:ascii="宋体" w:hAnsi="宋体"/>
          <w:color w:val="000000" w:themeColor="text1"/>
          <w:sz w:val="21"/>
          <w:szCs w:val="21"/>
          <w:highlight w:val="none"/>
          <w14:textFill>
            <w14:solidFill>
              <w14:schemeClr w14:val="tx1"/>
            </w14:solidFill>
          </w14:textFill>
        </w:rPr>
        <w:t xml:space="preserve">姓名</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代表我方</w:t>
      </w:r>
      <w:r>
        <w:rPr>
          <w:rFonts w:ascii="宋体" w:hAnsi="宋体"/>
          <w:color w:val="000000" w:themeColor="text1"/>
          <w:sz w:val="21"/>
          <w:szCs w:val="21"/>
          <w:highlight w:val="none"/>
          <w14:textFill>
            <w14:solidFill>
              <w14:schemeClr w14:val="tx1"/>
            </w14:solidFill>
          </w14:textFill>
        </w:rPr>
        <w:t xml:space="preserve">______________</w:t>
      </w:r>
      <w:r>
        <w:rPr>
          <w:rFonts w:hint="eastAsia" w:ascii="宋体" w:hAnsi="宋体"/>
          <w:color w:val="000000" w:themeColor="text1"/>
          <w:sz w:val="21"/>
          <w:szCs w:val="21"/>
          <w:highlight w:val="none"/>
          <w14:textFill>
            <w14:solidFill>
              <w14:schemeClr w14:val="tx1"/>
            </w14:solidFill>
          </w14:textFill>
        </w:rPr>
        <w:t xml:space="preserve">（投标人的名称），全权处理本次项目投标的有关事宜。</w:t>
      </w:r>
      <w:r/>
    </w:p>
    <w:p>
      <w:pPr>
        <w:pStyle w:val="1068"/>
        <w:ind w:firstLine="420"/>
        <w:spacing w:before="0" w:after="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据此函，</w:t>
      </w:r>
      <w:r>
        <w:rPr>
          <w:rFonts w:ascii="宋体" w:hAnsi="宋体"/>
          <w:color w:val="000000" w:themeColor="text1"/>
          <w:sz w:val="21"/>
          <w:szCs w:val="21"/>
          <w:highlight w:val="none"/>
          <w14:textFill>
            <w14:solidFill>
              <w14:schemeClr w14:val="tx1"/>
            </w14:solidFill>
          </w14:textFill>
        </w:rPr>
        <w:t xml:space="preserve">__________</w:t>
      </w:r>
      <w:r>
        <w:rPr>
          <w:rFonts w:hint="eastAsia" w:ascii="宋体" w:hAnsi="宋体"/>
          <w:color w:val="000000" w:themeColor="text1"/>
          <w:sz w:val="21"/>
          <w:szCs w:val="21"/>
          <w:highlight w:val="none"/>
          <w14:textFill>
            <w14:solidFill>
              <w14:schemeClr w14:val="tx1"/>
            </w14:solidFill>
          </w14:textFill>
        </w:rPr>
        <w:t xml:space="preserve">签字人（姓名）兹宣布同意如下：</w:t>
      </w:r>
      <w:r/>
    </w:p>
    <w:p>
      <w:pPr>
        <w:pStyle w:val="1068"/>
        <w:ind w:firstLine="420"/>
        <w:spacing w:before="0" w:after="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按招标文件规定的各项要求，向买方提供所需货物与服务。</w:t>
      </w:r>
      <w:r/>
    </w:p>
    <w:p>
      <w:pPr>
        <w:pStyle w:val="1068"/>
        <w:ind w:firstLine="420"/>
        <w:spacing w:before="0" w:after="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我们完全理解贵方不一定将合同授予最低报价的投标人。</w:t>
      </w:r>
      <w:r/>
    </w:p>
    <w:p>
      <w:pPr>
        <w:pStyle w:val="1068"/>
        <w:ind w:firstLine="420"/>
        <w:spacing w:before="0" w:after="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我们已详细审核全部招标文件及其有效补充文件，我们知道必须放弃提出含糊不清或误解问题的权利。</w:t>
      </w:r>
      <w:r/>
    </w:p>
    <w:p>
      <w:pPr>
        <w:pStyle w:val="1068"/>
        <w:spacing w:before="0" w:after="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我们同意从规定的开标日期起遵循本投标文件，并在规定的投标有效期期满之前均具有约束力。</w:t>
      </w:r>
      <w:r/>
    </w:p>
    <w:p>
      <w:pPr>
        <w:pStyle w:val="1068"/>
        <w:spacing w:before="0" w:after="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5.</w:t>
      </w:r>
      <w:r>
        <w:rPr>
          <w:rFonts w:hint="eastAsia" w:ascii="宋体" w:hAnsi="宋体"/>
          <w:color w:val="000000" w:themeColor="text1"/>
          <w:sz w:val="2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68"/>
        <w:spacing w:before="0" w:after="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6.</w:t>
      </w:r>
      <w:r>
        <w:rPr>
          <w:rFonts w:hint="eastAsia" w:ascii="宋体" w:hAnsi="宋体"/>
          <w:color w:val="000000" w:themeColor="text1"/>
          <w:sz w:val="21"/>
          <w:szCs w:val="21"/>
          <w:highlight w:val="none"/>
          <w14:textFill>
            <w14:solidFill>
              <w14:schemeClr w14:val="tx1"/>
            </w14:solidFill>
          </w14:textFill>
        </w:rPr>
        <w:t xml:space="preserve">一旦我方中标</w:t>
      </w:r>
      <w:r>
        <w:rPr>
          <w:rFonts w:asci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我方将根据招标文件的规定，严格履行合同的责任和义务</w:t>
      </w:r>
      <w:r>
        <w:rPr>
          <w:rFonts w:asci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并保证在招标文件规定的时间完成项目，交付买方验收、使用。</w:t>
      </w:r>
      <w:r/>
    </w:p>
    <w:p>
      <w:pPr>
        <w:pStyle w:val="1068"/>
        <w:ind w:left="425" w:firstLine="105"/>
        <w:spacing w:before="0" w:after="0"/>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7.</w:t>
      </w:r>
      <w:r>
        <w:rPr>
          <w:rFonts w:hint="eastAsia" w:ascii="宋体" w:hAnsi="宋体"/>
          <w:color w:val="000000" w:themeColor="text1"/>
          <w:sz w:val="21"/>
          <w:szCs w:val="21"/>
          <w:highlight w:val="none"/>
          <w14:textFill>
            <w14:solidFill>
              <w14:schemeClr w14:val="tx1"/>
            </w14:solidFill>
          </w14:textFill>
        </w:rPr>
        <w:t xml:space="preserve">与本投标有关的正式通讯地址为：</w:t>
      </w:r>
      <w:r/>
    </w:p>
    <w:p>
      <w:pPr>
        <w:pStyle w:val="1068"/>
        <w:ind w:firstLine="478"/>
        <w:spacing w:before="0" w:after="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地</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址：</w:t>
      </w:r>
      <w:r/>
    </w:p>
    <w:p>
      <w:pPr>
        <w:pStyle w:val="1068"/>
        <w:ind w:firstLine="478"/>
        <w:spacing w:before="0" w:after="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邮</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编：</w:t>
      </w:r>
      <w:r/>
    </w:p>
    <w:p>
      <w:pPr>
        <w:pStyle w:val="1068"/>
        <w:ind w:firstLine="478"/>
        <w:spacing w:before="0" w:after="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电</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话：</w:t>
      </w:r>
      <w:r>
        <w:rPr>
          <w:rFonts w:ascii="宋体" w:hAnsi="宋体"/>
          <w:color w:val="000000" w:themeColor="text1"/>
          <w:sz w:val="21"/>
          <w:szCs w:val="21"/>
          <w:highlight w:val="none"/>
          <w14:textFill>
            <w14:solidFill>
              <w14:schemeClr w14:val="tx1"/>
            </w14:solidFill>
          </w14:textFill>
        </w:rPr>
        <w:t xml:space="preserve"> </w:t>
      </w:r>
      <w:r/>
    </w:p>
    <w:p>
      <w:pPr>
        <w:pStyle w:val="1068"/>
        <w:ind w:firstLine="478"/>
        <w:spacing w:before="0" w:after="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传</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真：</w:t>
      </w:r>
      <w:r>
        <w:rPr>
          <w:rFonts w:ascii="宋体" w:hAnsi="宋体"/>
          <w:color w:val="000000" w:themeColor="text1"/>
          <w:sz w:val="21"/>
          <w:szCs w:val="21"/>
          <w:highlight w:val="none"/>
          <w14:textFill>
            <w14:solidFill>
              <w14:schemeClr w14:val="tx1"/>
            </w14:solidFill>
          </w14:textFill>
        </w:rPr>
        <w:t xml:space="preserve"> </w:t>
      </w:r>
      <w:r/>
    </w:p>
    <w:p>
      <w:pPr>
        <w:pStyle w:val="1068"/>
        <w:ind w:firstLine="478"/>
        <w:spacing w:before="0" w:after="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投标人开户行：</w:t>
      </w:r>
      <w:r/>
    </w:p>
    <w:p>
      <w:pPr>
        <w:pStyle w:val="1068"/>
        <w:ind w:firstLine="478"/>
        <w:spacing w:before="0" w:after="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账</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户：</w:t>
      </w:r>
      <w:r>
        <w:rPr>
          <w:rFonts w:ascii="宋体" w:hAnsi="宋体"/>
          <w:color w:val="000000" w:themeColor="text1"/>
          <w:sz w:val="21"/>
          <w:szCs w:val="21"/>
          <w:highlight w:val="none"/>
          <w14:textFill>
            <w14:solidFill>
              <w14:schemeClr w14:val="tx1"/>
            </w14:solidFill>
          </w14:textFill>
        </w:rPr>
        <w:t xml:space="preserve"> </w:t>
      </w:r>
      <w:r/>
    </w:p>
    <w:p>
      <w:pPr>
        <w:pStyle w:val="1068"/>
        <w:ind w:firstLine="478"/>
        <w:spacing w:before="0" w:after="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行</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号：</w:t>
      </w:r>
      <w:r/>
    </w:p>
    <w:p>
      <w:pPr>
        <w:pStyle w:val="1068"/>
        <w:ind w:firstLine="478"/>
        <w:spacing w:before="0" w:after="0"/>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日</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期：</w:t>
      </w:r>
      <w:r>
        <w:rPr>
          <w:rFonts w:ascii="宋体" w:hAnsi="宋体"/>
          <w:color w:val="000000" w:themeColor="text1"/>
          <w:sz w:val="21"/>
          <w:szCs w:val="21"/>
          <w:highlight w:val="none"/>
          <w14:textFill>
            <w14:solidFill>
              <w14:schemeClr w14:val="tx1"/>
            </w14:solidFill>
          </w14:textFill>
        </w:rPr>
        <w:t xml:space="preserve">________</w:t>
      </w:r>
      <w:r>
        <w:rPr>
          <w:rFonts w:hint="eastAsia" w:ascii="宋体" w:hAnsi="宋体"/>
          <w:color w:val="000000" w:themeColor="text1"/>
          <w:sz w:val="21"/>
          <w:szCs w:val="21"/>
          <w:highlight w:val="none"/>
          <w14:textFill>
            <w14:solidFill>
              <w14:schemeClr w14:val="tx1"/>
            </w14:solidFill>
          </w14:textFill>
        </w:rPr>
        <w:t xml:space="preserve">年</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月</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日</w:t>
      </w:r>
      <w:r/>
    </w:p>
    <w:p>
      <w:pPr>
        <w:contextualSpacing/>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br w:type="page" w:clear="all"/>
      </w:r>
      <w:r/>
    </w:p>
    <w:p>
      <w:pPr>
        <w:pStyle w:val="1067"/>
        <w:ind w:firstLine="422"/>
        <w:jc w:val="center"/>
        <w:spacing w:after="312" w:line="360" w:lineRule="auto"/>
        <w:rPr>
          <w:rFonts w:asci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法人授权书</w:t>
      </w:r>
      <w:r/>
    </w:p>
    <w:p>
      <w:pPr>
        <w:pStyle w:val="1067"/>
        <w:ind w:firstLine="420"/>
        <w:spacing w:line="360" w:lineRule="auto"/>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本授权书声明：</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（投标人名称）授权</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（被授权人的姓名）为我方就（项目编号）号（项目名称）项目采购活动的合法代理人，以本公司名义全权处理一切与该项目采购有关的事务。</w:t>
      </w:r>
      <w:r/>
    </w:p>
    <w:p>
      <w:pPr>
        <w:pStyle w:val="1067"/>
        <w:ind w:firstLine="420"/>
        <w:spacing w:line="360" w:lineRule="auto"/>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本授权书于</w:t>
      </w:r>
      <w:r>
        <w:rPr>
          <w:rFonts w:ascii="宋体" w:hAnsi="宋体"/>
          <w:color w:val="000000" w:themeColor="text1"/>
          <w:sz w:val="21"/>
          <w:szCs w:val="21"/>
          <w:highlight w:val="none"/>
          <w14:textFill>
            <w14:solidFill>
              <w14:schemeClr w14:val="tx1"/>
            </w14:solidFill>
          </w14:textFill>
        </w:rPr>
        <w:t xml:space="preserve">______</w:t>
      </w:r>
      <w:r>
        <w:rPr>
          <w:rFonts w:hint="eastAsia" w:ascii="宋体" w:hAnsi="宋体"/>
          <w:color w:val="000000" w:themeColor="text1"/>
          <w:sz w:val="21"/>
          <w:szCs w:val="21"/>
          <w:highlight w:val="none"/>
          <w14:textFill>
            <w14:solidFill>
              <w14:schemeClr w14:val="tx1"/>
            </w14:solidFill>
          </w14:textFill>
        </w:rPr>
        <w:t xml:space="preserve">年</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月</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日起生效，特此声明。</w:t>
      </w:r>
      <w:r/>
    </w:p>
    <w:p>
      <w:pPr>
        <w:pStyle w:val="1067"/>
        <w:ind w:firstLine="0"/>
        <w:spacing w:line="360" w:lineRule="auto"/>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p>
    <w:p>
      <w:pPr>
        <w:pStyle w:val="1067"/>
        <w:ind w:firstLine="420"/>
        <w:spacing w:line="360" w:lineRule="auto"/>
        <w:rPr>
          <w:rFonts w:asci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被授权人姓名：</w:t>
      </w:r>
      <w:r>
        <w:rPr>
          <w:rFonts w:ascii="宋体" w:hAnsi="宋体"/>
          <w:color w:val="000000" w:themeColor="text1"/>
          <w:sz w:val="21"/>
          <w:szCs w:val="21"/>
          <w:highlight w:val="none"/>
          <w14:textFill>
            <w14:solidFill>
              <w14:schemeClr w14:val="tx1"/>
            </w14:solidFill>
          </w14:textFill>
        </w:rPr>
        <w:t xml:space="preserve">_____________________</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__     </w:t>
      </w:r>
      <w:r/>
    </w:p>
    <w:p>
      <w:pPr>
        <w:pStyle w:val="1067"/>
        <w:ind w:firstLine="420"/>
        <w:spacing w:line="360" w:lineRule="auto"/>
        <w:rPr>
          <w:rFonts w:asci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联系电话（手机）：</w:t>
      </w:r>
      <w:r>
        <w:rPr>
          <w:rFonts w:ascii="宋体" w:hAnsi="宋体"/>
          <w:color w:val="000000" w:themeColor="text1"/>
          <w:sz w:val="21"/>
          <w:szCs w:val="21"/>
          <w:highlight w:val="none"/>
          <w:u w:val="single"/>
          <w14:textFill>
            <w14:solidFill>
              <w14:schemeClr w14:val="tx1"/>
            </w14:solidFill>
          </w14:textFill>
        </w:rPr>
        <w:t xml:space="preserve">                             </w:t>
      </w:r>
      <w:r/>
    </w:p>
    <w:p>
      <w:pPr>
        <w:pStyle w:val="1067"/>
        <w:ind w:firstLine="0"/>
        <w:spacing w:line="360" w:lineRule="auto"/>
        <w:rPr>
          <w:rFonts w:asci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单位名称：</w:t>
      </w:r>
      <w:r>
        <w:rPr>
          <w:rFonts w:ascii="宋体" w:hAnsi="宋体"/>
          <w:color w:val="000000" w:themeColor="text1"/>
          <w:sz w:val="21"/>
          <w:szCs w:val="21"/>
          <w:highlight w:val="none"/>
          <w14:textFill>
            <w14:solidFill>
              <w14:schemeClr w14:val="tx1"/>
            </w14:solidFill>
          </w14:textFill>
        </w:rPr>
        <w:t xml:space="preserve">____________________________________</w:t>
      </w:r>
      <w:r/>
    </w:p>
    <w:p>
      <w:pPr>
        <w:pStyle w:val="1067"/>
        <w:ind w:firstLine="420"/>
        <w:spacing w:line="360" w:lineRule="auto"/>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单位地址：</w:t>
      </w:r>
      <w:r>
        <w:rPr>
          <w:color w:val="000000" w:themeColor="text1"/>
          <w:sz w:val="21"/>
          <w:szCs w:val="21"/>
          <w:highlight w:val="none"/>
          <w:u w:val="single"/>
          <w14:textFill>
            <w14:solidFill>
              <w14:schemeClr w14:val="tx1"/>
            </w14:solidFill>
          </w14:textFill>
        </w:rPr>
        <w:t xml:space="preserve">                                         </w:t>
      </w:r>
      <w:r/>
    </w:p>
    <w:p>
      <w:pPr>
        <w:pStyle w:val="1067"/>
        <w:ind w:firstLine="42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日期：</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r/>
    </w:p>
    <w:p>
      <w:pPr>
        <w:spacing w:line="460" w:lineRule="exact"/>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p>
      <w:pPr>
        <w:spacing w:line="460" w:lineRule="exact"/>
        <w:rPr>
          <w:rFonts w:ascii="宋体"/>
          <w:bCs/>
          <w:color w:val="000000" w:themeColor="text1"/>
          <w:sz w:val="24"/>
          <w:highlight w:val="none"/>
          <w14:textFill>
            <w14:solidFill>
              <w14:schemeClr w14:val="tx1"/>
            </w14:solidFill>
          </w14:textFill>
        </w:rPr>
      </w:pPr>
      <w:r>
        <w:rPr>
          <w:rFonts w:ascii="宋体"/>
          <w:bCs/>
          <w:color w:val="000000" w:themeColor="text1"/>
          <w:sz w:val="24"/>
          <w:highlight w:val="none"/>
          <w14:textFill>
            <w14:solidFill>
              <w14:schemeClr w14:val="tx1"/>
            </w14:solidFill>
          </w14:textFill>
        </w:rPr>
      </w:r>
      <w:r/>
    </w:p>
    <w:p>
      <w:pPr>
        <w:ind w:firstLine="420"/>
        <w:spacing w:line="460" w:lineRule="exact"/>
        <w:rPr>
          <w:rFonts w:ascii="宋体"/>
          <w:bCs/>
          <w:color w:val="000000" w:themeColor="text1"/>
          <w:highlight w:val="none"/>
          <w14:textFill>
            <w14:solidFill>
              <w14:schemeClr w14:val="tx1"/>
            </w14:solidFill>
          </w14:textFill>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highlight w:val="none"/>
          <w14:textFill>
            <w14:solidFill>
              <w14:schemeClr w14:val="tx1"/>
            </w14:solidFill>
          </w14:textFill>
        </w:rPr>
        <w:t xml:space="preserve">被授权人身份证复印件</w:t>
      </w:r>
      <w:r/>
    </w:p>
    <w:p>
      <w:pP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r>
      <w:r/>
    </w:p>
    <w:p>
      <w:pPr>
        <w:numPr>
          <w:ilvl w:val="0"/>
          <w:numId w:val="4"/>
        </w:numPr>
        <w:jc w:val="center"/>
        <w:rPr>
          <w:rFonts w:asci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符合性审查响应对照表</w:t>
      </w:r>
      <w:r/>
    </w:p>
    <w:p>
      <w:pP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r>
      <w:r/>
    </w:p>
    <w:tbl>
      <w:tblPr>
        <w:tblStyle w:val="8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符合性审查响应内容</w:t>
            </w:r>
            <w:r/>
          </w:p>
        </w:tc>
        <w:tc>
          <w:tcPr>
            <w:tcW w:w="1680" w:type="dxa"/>
            <w:vAlign w:val="center"/>
            <w:textDirection w:val="lrTb"/>
            <w:noWrap w:val="false"/>
          </w:tcPr>
          <w:p>
            <w:pPr>
              <w:jc w:val="center"/>
              <w:spacing w:line="240" w:lineRule="atLeast"/>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240" w:lineRule="atLeast"/>
              <w:rPr>
                <w:rFonts w:asci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tc>
        <w:tc>
          <w:tcPr>
            <w:tcW w:w="1308" w:type="dxa"/>
            <w:vAlign w:val="center"/>
            <w:textDirection w:val="lrTb"/>
            <w:noWrap w:val="false"/>
          </w:tcPr>
          <w:p>
            <w:pPr>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240" w:lineRule="atLeast"/>
              <w:rPr>
                <w:rFonts w:ascii="宋体"/>
                <w:iCs/>
                <w:color w:val="000000" w:themeColor="text1"/>
                <w:szCs w:val="21"/>
                <w:highlight w:val="none"/>
                <w14:textFill>
                  <w14:solidFill>
                    <w14:schemeClr w14:val="tx1"/>
                  </w14:solidFill>
                </w14:textFill>
              </w:rPr>
            </w:pPr>
            <w:r>
              <w:rPr>
                <w:rFonts w:ascii="宋体"/>
                <w:iCs/>
                <w:color w:val="000000" w:themeColor="text1"/>
                <w:szCs w:val="21"/>
                <w:highlight w:val="none"/>
                <w14:textFill>
                  <w14:solidFill>
                    <w14:schemeClr w14:val="tx1"/>
                  </w14:solidFill>
                </w14:textFill>
              </w:rPr>
            </w:r>
            <w:r/>
          </w:p>
        </w:tc>
        <w:tc>
          <w:tcPr>
            <w:tcW w:w="1680"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240" w:lineRule="atLeast"/>
              <w:rPr>
                <w:rFonts w:ascii="宋体"/>
                <w:iCs/>
                <w:color w:val="000000" w:themeColor="text1"/>
                <w:szCs w:val="21"/>
                <w:highlight w:val="none"/>
                <w14:textFill>
                  <w14:solidFill>
                    <w14:schemeClr w14:val="tx1"/>
                  </w14:solidFill>
                </w14:textFill>
              </w:rPr>
            </w:pPr>
            <w:r>
              <w:rPr>
                <w:rFonts w:ascii="宋体"/>
                <w:iCs/>
                <w:color w:val="000000" w:themeColor="text1"/>
                <w:szCs w:val="21"/>
                <w:highlight w:val="none"/>
                <w14:textFill>
                  <w14:solidFill>
                    <w14:schemeClr w14:val="tx1"/>
                  </w14:solidFill>
                </w14:textFill>
              </w:rPr>
            </w:r>
            <w:r/>
          </w:p>
        </w:tc>
        <w:tc>
          <w:tcPr>
            <w:tcW w:w="1680"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240" w:lineRule="atLeast"/>
              <w:rPr>
                <w:rFonts w:ascii="宋体"/>
                <w:iCs/>
                <w:color w:val="000000" w:themeColor="text1"/>
                <w:szCs w:val="21"/>
                <w:highlight w:val="none"/>
                <w14:textFill>
                  <w14:solidFill>
                    <w14:schemeClr w14:val="tx1"/>
                  </w14:solidFill>
                </w14:textFill>
              </w:rPr>
            </w:pPr>
            <w:r>
              <w:rPr>
                <w:rFonts w:ascii="宋体"/>
                <w:iCs/>
                <w:color w:val="000000" w:themeColor="text1"/>
                <w:szCs w:val="21"/>
                <w:highlight w:val="none"/>
                <w14:textFill>
                  <w14:solidFill>
                    <w14:schemeClr w14:val="tx1"/>
                  </w14:solidFill>
                </w14:textFill>
              </w:rPr>
            </w:r>
            <w:r/>
          </w:p>
        </w:tc>
        <w:tc>
          <w:tcPr>
            <w:tcW w:w="1680"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240" w:lineRule="atLeast"/>
              <w:rPr>
                <w:rFonts w:ascii="宋体"/>
                <w:iCs/>
                <w:color w:val="000000" w:themeColor="text1"/>
                <w:szCs w:val="21"/>
                <w:highlight w:val="none"/>
                <w14:textFill>
                  <w14:solidFill>
                    <w14:schemeClr w14:val="tx1"/>
                  </w14:solidFill>
                </w14:textFill>
              </w:rPr>
            </w:pPr>
            <w:r>
              <w:rPr>
                <w:rFonts w:hint="eastAsia" w:ascii="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bl>
    <w:p>
      <w:pPr>
        <w:contextualSpacing/>
        <w:spacing w:line="600" w:lineRule="exact"/>
        <w:rPr>
          <w:rFonts w:asci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注：符合性审查需要提供的相关证明文件在制作标书时随此表一起上传。</w:t>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numPr>
          <w:ilvl w:val="0"/>
          <w:numId w:val="4"/>
        </w:numPr>
        <w:jc w:val="center"/>
        <w:rPr>
          <w:rFonts w:asci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非实质性响应对照表</w:t>
      </w:r>
      <w:r/>
    </w:p>
    <w:p>
      <w:pP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r>
      <w:r/>
    </w:p>
    <w:tbl>
      <w:tblPr>
        <w:tblStyle w:val="8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非实质性响应内容</w:t>
            </w:r>
            <w:r/>
          </w:p>
        </w:tc>
        <w:tc>
          <w:tcPr>
            <w:tcW w:w="1680" w:type="dxa"/>
            <w:vAlign w:val="center"/>
            <w:textDirection w:val="lrTb"/>
            <w:noWrap w:val="false"/>
          </w:tcPr>
          <w:p>
            <w:pPr>
              <w:jc w:val="center"/>
              <w:spacing w:line="240" w:lineRule="atLeast"/>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240" w:lineRule="atLeast"/>
              <w:rPr>
                <w:rFonts w:asci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asci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240" w:lineRule="atLeast"/>
              <w:rPr>
                <w:rFonts w:asci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《企业声明函》</w:t>
            </w:r>
            <w:r/>
          </w:p>
        </w:tc>
        <w:tc>
          <w:tcPr>
            <w:tcW w:w="1680" w:type="dxa"/>
            <w:vAlign w:val="center"/>
            <w:textDirection w:val="lrTb"/>
            <w:noWrap w:val="false"/>
          </w:tcPr>
          <w:p>
            <w:pPr>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tc>
        <w:tc>
          <w:tcPr>
            <w:tcW w:w="1308" w:type="dxa"/>
            <w:vAlign w:val="center"/>
            <w:textDirection w:val="lrTb"/>
            <w:noWrap w:val="false"/>
          </w:tcPr>
          <w:p>
            <w:pPr>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240" w:lineRule="atLeast"/>
              <w:rPr>
                <w:rFonts w:asci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《残疾人福利性单位声明函》</w:t>
            </w:r>
            <w:r/>
          </w:p>
        </w:tc>
        <w:tc>
          <w:tcPr>
            <w:tcW w:w="1680"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240" w:lineRule="atLeast"/>
              <w:rPr>
                <w:rFonts w:ascii="宋体"/>
                <w:iCs/>
                <w:color w:val="000000" w:themeColor="text1"/>
                <w:szCs w:val="21"/>
                <w:highlight w:val="none"/>
                <w14:textFill>
                  <w14:solidFill>
                    <w14:schemeClr w14:val="tx1"/>
                  </w14:solidFill>
                </w14:textFill>
              </w:rPr>
            </w:pPr>
            <w:r>
              <w:rPr>
                <w:rFonts w:hint="eastAsia" w:ascii="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bl>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b/>
          <w:bCs/>
          <w:color w:val="000000" w:themeColor="text1"/>
          <w:sz w:val="32"/>
          <w:szCs w:val="32"/>
          <w:highlight w:val="none"/>
          <w14:textFill>
            <w14:solidFill>
              <w14:schemeClr w14:val="tx1"/>
            </w14:solidFill>
          </w14:textFill>
        </w:rPr>
      </w:pPr>
      <w:r>
        <w:rPr>
          <w:rFonts w:ascii="宋体"/>
          <w:b/>
          <w:bCs/>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br w:type="page" w:clear="all"/>
      </w:r>
      <w:r/>
    </w:p>
    <w:p>
      <w:pPr>
        <w:jc w:val="center"/>
        <w:spacing w:before="312" w:after="31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中小企业声明函（货物）</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w:t>
      </w:r>
      <w:r>
        <w:rPr>
          <w:color w:val="000000" w:themeColor="text1"/>
          <w:highlight w:val="none"/>
          <w14:textFill>
            <w14:solidFill>
              <w14:schemeClr w14:val="tx1"/>
            </w14:solidFill>
          </w14:textFill>
        </w:rPr>
        <w:t xml:space="preserve">2020</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46 </w:t>
      </w:r>
      <w:r>
        <w:rPr>
          <w:rFonts w:hint="eastAsia"/>
          <w:color w:val="000000" w:themeColor="text1"/>
          <w:highlight w:val="none"/>
          <w14:textFill>
            <w14:solidFill>
              <w14:schemeClr w14:val="tx1"/>
            </w14:solidFill>
          </w14:textFill>
        </w:rPr>
        <w:t xml:space="preserve">号）的规定，本公司（联合体）参加</w:t>
      </w:r>
      <w:r>
        <w:rPr>
          <w:rFonts w:hint="eastAsia"/>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 </w:t>
      </w:r>
      <w:r>
        <w:rPr>
          <w:rFonts w:hint="eastAsia"/>
          <w:color w:val="000000" w:themeColor="text1"/>
          <w:highlight w:val="none"/>
          <w:u w:val="single"/>
          <w14:textFill>
            <w14:solidFill>
              <w14:schemeClr w14:val="tx1"/>
            </w14:solidFill>
          </w14:textFill>
        </w:rPr>
        <w:t xml:space="preserve">（标的名称）</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（采购文件中明确的所属行业）行业</w:t>
      </w:r>
      <w:r>
        <w:rPr>
          <w:rFonts w:hint="eastAsia"/>
          <w:color w:val="000000" w:themeColor="text1"/>
          <w:highlight w:val="none"/>
          <w14:textFill>
            <w14:solidFill>
              <w14:schemeClr w14:val="tx1"/>
            </w14:solidFill>
          </w14:textFill>
        </w:rPr>
        <w:t xml:space="preserve">；制造商为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"br1" </w:instrText>
      </w:r>
      <w:r>
        <w:rPr>
          <w:color w:val="000000" w:themeColor="text1"/>
          <w:highlight w:val="none"/>
          <w14:textFill>
            <w14:solidFill>
              <w14:schemeClr w14:val="tx1"/>
            </w14:solidFill>
          </w14:textFill>
        </w:rPr>
        <w:fldChar w:fldCharType="separate"/>
      </w:r>
      <w:r>
        <w:rPr>
          <w:rFonts w:ascii="仿宋" w:eastAsia="Times New Roman"/>
          <w:color w:val="000000" w:themeColor="text1"/>
          <w:spacing w:val="-1"/>
          <w:highlight w:val="none"/>
          <w:vertAlign w:val="superscript"/>
          <w14:textFill>
            <w14:solidFill>
              <w14:schemeClr w14:val="tx1"/>
            </w14:solidFill>
          </w14:textFill>
        </w:rPr>
        <w:t xml:space="preserve">1</w:t>
      </w:r>
      <w:r>
        <w:rPr>
          <w:rFonts w:ascii="仿宋" w:eastAsia="Times New Roman"/>
          <w:color w:val="000000" w:themeColor="text1"/>
          <w:spacing w:val="-1"/>
          <w:highlight w:val="none"/>
          <w:vertAlign w:val="superscript"/>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2. </w:t>
      </w:r>
      <w:r>
        <w:rPr>
          <w:rFonts w:hint="eastAsia"/>
          <w:color w:val="000000" w:themeColor="text1"/>
          <w:highlight w:val="none"/>
          <w:u w:val="single"/>
          <w14:textFill>
            <w14:solidFill>
              <w14:schemeClr w14:val="tx1"/>
            </w14:solidFill>
          </w14:textFill>
        </w:rPr>
        <w:t xml:space="preserve">（标的名称）</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（采购文件中明确的所属行业）行业</w:t>
      </w:r>
      <w:r>
        <w:rPr>
          <w:rFonts w:hint="eastAsia"/>
          <w:color w:val="000000" w:themeColor="text1"/>
          <w:highlight w:val="none"/>
          <w14:textFill>
            <w14:solidFill>
              <w14:schemeClr w14:val="tx1"/>
            </w14:solidFill>
          </w14:textFill>
        </w:rPr>
        <w:t xml:space="preserve">；制造商为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20"/>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w:t>
      </w:r>
      <w:r>
        <w:rPr>
          <w:rFonts w:ascii="宋体" w:hAnsi="宋体"/>
          <w:color w:val="000000" w:themeColor="text1"/>
          <w:highlight w:val="none"/>
          <w14:textFill>
            <w14:solidFill>
              <w14:schemeClr w14:val="tx1"/>
            </w14:solidFill>
          </w14:textFill>
        </w:rPr>
        <w:t xml:space="preserve"> 1</w:t>
      </w:r>
      <w:r>
        <w:rPr>
          <w:rFonts w:hint="eastAsia" w:ascii="宋体" w:hAnsi="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从业人员（不仅指在职职工）、营业收入、资产总额填报上一年度数据，无上一年度数据的新成立企业可不填报。</w:t>
      </w:r>
      <w:r/>
    </w:p>
    <w:p>
      <w:pPr>
        <w:ind w:firstLine="420"/>
        <w:spacing w:line="360" w:lineRule="auto"/>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、供应商如不提供此声明函，价格将不做相应扣除。</w:t>
      </w:r>
      <w:r/>
    </w:p>
    <w:p>
      <w:pPr>
        <w:spacing w:line="360" w:lineRule="auto"/>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3</w:t>
      </w:r>
      <w:r>
        <w:rPr>
          <w:rFonts w:hint="eastAsia" w:ascii="宋体" w:hAnsi="宋体"/>
          <w:color w:val="000000" w:themeColor="text1"/>
          <w:highlight w:val="none"/>
          <w14:textFill>
            <w14:solidFill>
              <w14:schemeClr w14:val="tx1"/>
            </w14:solidFill>
          </w14:textFill>
        </w:rPr>
        <w:t xml:space="preserve">、企业声明函请完整填写，中标后将公示。</w:t>
      </w:r>
      <w:r/>
    </w:p>
    <w:p>
      <w:pPr>
        <w:ind w:firstLine="420"/>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、声明函应涵盖本项目</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分包</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所有货物，否则价格不作扣除。</w:t>
      </w:r>
      <w:r/>
    </w:p>
    <w:p>
      <w:pPr>
        <w:ind w:firstLine="420"/>
        <w:jc w:val="left"/>
        <w:spacing w:line="360" w:lineRule="auto"/>
        <w:rPr>
          <w:rFonts w:asci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bCs/>
          <w:color w:val="000000" w:themeColor="text1"/>
          <w:szCs w:val="21"/>
          <w:highlight w:val="none"/>
          <w:shd w:val="clear" w:color="auto" w:fill="ffffff"/>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shd w:val="clear" w:color="auto" w:fill="ffffff"/>
          <w14:textFill>
            <w14:solidFill>
              <w14:schemeClr w14:val="tx1"/>
            </w14:solidFill>
          </w14:textFill>
        </w:rPr>
        <w:t xml:space="preserve">《政府采购法》第七十七条第一款：</w:t>
      </w:r>
      <w:r>
        <w:rPr>
          <w:rFonts w:hint="eastAsia" w:ascii="宋体" w:hAnsi="宋体"/>
          <w:bCs/>
          <w:color w:val="000000" w:themeColor="text1"/>
          <w:szCs w:val="21"/>
          <w:highlight w:val="none"/>
          <w:shd w:val="clear" w:color="auto" w:fill="ffffff"/>
          <w14:textFill>
            <w14:solidFill>
              <w14:schemeClr w14:val="tx1"/>
            </w14:solidFill>
          </w14:textFill>
        </w:rPr>
        <w:t xml:space="preserve">提供虚假材料谋取中标、成交的</w:t>
      </w:r>
      <w:r>
        <w:rPr>
          <w:rFonts w:hint="eastAsia" w:ascii="宋体" w:hAnsi="宋体" w:cs="Arial"/>
          <w:bCs/>
          <w:color w:val="000000" w:themeColor="text1"/>
          <w:szCs w:val="21"/>
          <w:highlight w:val="none"/>
          <w:shd w:val="clear" w:color="auto" w:fill="ffffff"/>
          <w14:textFill>
            <w14:solidFill>
              <w14:schemeClr w14:val="tx1"/>
            </w14:solidFill>
          </w14:textFill>
        </w:rPr>
        <w:t xml:space="preserve">，</w:t>
      </w:r>
      <w:r>
        <w:rPr>
          <w:rFonts w:hint="eastAsia" w:ascii="宋体" w:hAnsi="宋体"/>
          <w:bCs/>
          <w:color w:val="000000" w:themeColor="text1"/>
          <w:szCs w:val="21"/>
          <w:highlight w:val="none"/>
          <w:shd w:val="clear" w:color="auto" w:fill="ffffff"/>
          <w14:textFill>
            <w14:solidFill>
              <w14:schemeClr w14:val="tx1"/>
            </w14:solidFill>
          </w14:textFill>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bCs/>
          <w:color w:val="000000" w:themeColor="text1"/>
          <w:szCs w:val="21"/>
          <w:highlight w:val="none"/>
          <w:shd w:val="clear" w:color="auto" w:fill="ffffff"/>
          <w14:textFill>
            <w14:solidFill>
              <w14:schemeClr w14:val="tx1"/>
            </w14:solidFill>
          </w14:textFill>
        </w:rPr>
        <w:t xml:space="preserve"> </w:t>
      </w:r>
      <w:r>
        <w:rPr>
          <w:rFonts w:hint="eastAsia" w:ascii="宋体" w:hAnsi="宋体"/>
          <w:bCs/>
          <w:color w:val="000000" w:themeColor="text1"/>
          <w:szCs w:val="21"/>
          <w:highlight w:val="none"/>
          <w:shd w:val="clear" w:color="auto" w:fill="ffffff"/>
          <w14:textFill>
            <w14:solidFill>
              <w14:schemeClr w14:val="tx1"/>
            </w14:solidFill>
          </w14:textFill>
        </w:rPr>
        <w:t xml:space="preserve">。</w:t>
      </w:r>
      <w:r/>
    </w:p>
    <w:p>
      <w:pPr>
        <w:pStyle w:val="1039"/>
        <w:jc w:val="center"/>
        <w:spacing w:before="300" w:after="300" w:line="360" w:lineRule="auto"/>
        <w:widowControl/>
        <w:rPr>
          <w:rFonts w:ascii="宋体"/>
          <w:color w:val="000000" w:themeColor="text1"/>
          <w:sz w:val="21"/>
          <w:szCs w:val="21"/>
          <w:highlight w:val="none"/>
          <w14:textFill>
            <w14:solidFill>
              <w14:schemeClr w14:val="tx1"/>
            </w14:solidFill>
          </w14:textFill>
        </w:rPr>
      </w:pPr>
      <w:r/>
      <w:bookmarkStart w:id="49" w:name="_Toc3458"/>
      <w:r/>
      <w:bookmarkStart w:id="50" w:name="_Toc14865"/>
      <w:r>
        <w:rPr>
          <w:rFonts w:hint="eastAsia" w:ascii="宋体" w:hAnsi="宋体" w:cs="微软雅黑"/>
          <w:color w:val="000000" w:themeColor="text1"/>
          <w:sz w:val="21"/>
          <w:szCs w:val="21"/>
          <w:highlight w:val="none"/>
          <w14:textFill>
            <w14:solidFill>
              <w14:schemeClr w14:val="tx1"/>
            </w14:solidFill>
          </w14:textFill>
        </w:rPr>
        <w:t xml:space="preserve">中小微企业划型标准</w:t>
      </w:r>
      <w:bookmarkEnd w:id="49"/>
      <w:r/>
      <w:bookmarkEnd w:id="50"/>
      <w:r/>
      <w:r/>
    </w:p>
    <w:p>
      <w:pPr>
        <w:pStyle w:val="1061"/>
        <w:ind w:firstLine="420"/>
        <w:spacing w:line="360" w:lineRule="auto"/>
        <w:rPr>
          <w:color w:val="000000" w:themeColor="text1"/>
          <w:sz w:val="21"/>
          <w:szCs w:val="21"/>
          <w:highlight w:val="none"/>
          <w14:textFill>
            <w14:solidFill>
              <w14:schemeClr w14:val="tx1"/>
            </w14:solidFill>
          </w14:textFill>
        </w:rPr>
      </w:pPr>
      <w:r>
        <w:rPr>
          <w:rFonts w:cs="仿宋"/>
          <w:color w:val="000000" w:themeColor="text1"/>
          <w:sz w:val="21"/>
          <w:szCs w:val="21"/>
          <w:highlight w:val="none"/>
          <w14:textFill>
            <w14:solidFill>
              <w14:schemeClr w14:val="tx1"/>
            </w14:solidFill>
          </w14:textFill>
        </w:rPr>
        <w:t xml:space="preserve">    </w:t>
      </w:r>
      <w:r>
        <w:rPr>
          <w:rStyle w:val="1064"/>
          <w:rFonts w:hint="eastAsia" w:cs="仿宋"/>
          <w:color w:val="000000" w:themeColor="text1"/>
          <w:sz w:val="21"/>
          <w:szCs w:val="21"/>
          <w:highlight w:val="none"/>
          <w14:textFill>
            <w14:solidFill>
              <w14:schemeClr w14:val="tx1"/>
            </w14:solidFill>
          </w14:textFill>
        </w:rPr>
        <w:t xml:space="preserve">中小微企业划型标准如下：</w:t>
      </w:r>
      <w:r/>
    </w:p>
    <w:tbl>
      <w:tblPr>
        <w:tblStyle w:val="819"/>
        <w:tblW w:w="8988"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999999" w:sz="6" w:space="0"/>
            </w:tcBorders>
            <w:tcMar>
              <w:left w:w="105" w:type="dxa"/>
              <w:top w:w="0" w:type="dxa"/>
              <w:right w:w="105" w:type="dxa"/>
              <w:bottom w:w="0" w:type="dxa"/>
            </w:tcMar>
            <w:tcW w:w="1401" w:type="dxa"/>
            <w:vAlign w:val="center"/>
            <w:textDirection w:val="lrTb"/>
            <w:noWrap w:val="false"/>
          </w:tcPr>
          <w:p>
            <w:pPr>
              <w:pStyle w:val="1061"/>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行业名称</w:t>
            </w:r>
            <w:r/>
          </w:p>
        </w:tc>
        <w:tc>
          <w:tcPr>
            <w:tcBorders>
              <w:top w:val="single" w:color="999999" w:sz="6" w:space="0"/>
            </w:tcBorders>
            <w:tcMar>
              <w:left w:w="105" w:type="dxa"/>
              <w:top w:w="0" w:type="dxa"/>
              <w:right w:w="105" w:type="dxa"/>
              <w:bottom w:w="0" w:type="dxa"/>
            </w:tcMar>
            <w:tcW w:w="171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指标名称</w:t>
            </w:r>
            <w:r/>
          </w:p>
        </w:tc>
        <w:tc>
          <w:tcPr>
            <w:tcBorders>
              <w:top w:val="single" w:color="999999" w:sz="6" w:space="0"/>
            </w:tcBorders>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计量单位</w:t>
            </w:r>
            <w:r/>
          </w:p>
        </w:tc>
        <w:tc>
          <w:tcPr>
            <w:tcBorders>
              <w:top w:val="single" w:color="999999" w:sz="6" w:space="0"/>
            </w:tcBorders>
            <w:tcMar>
              <w:left w:w="105" w:type="dxa"/>
              <w:top w:w="0" w:type="dxa"/>
              <w:right w:w="105" w:type="dxa"/>
              <w:bottom w:w="0" w:type="dxa"/>
            </w:tcMar>
            <w:tcW w:w="206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中型</w:t>
            </w:r>
            <w:r/>
          </w:p>
        </w:tc>
        <w:tc>
          <w:tcPr>
            <w:tcBorders>
              <w:top w:val="single" w:color="999999" w:sz="6" w:space="0"/>
            </w:tcBorders>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小型</w:t>
            </w:r>
            <w:r/>
          </w:p>
        </w:tc>
        <w:tc>
          <w:tcPr>
            <w:tcBorders>
              <w:top w:val="single" w:color="999999" w:sz="6" w:space="0"/>
            </w:tcBorders>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农、林、牧、渔</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500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50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500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工业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300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20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2000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40000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300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建筑业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6000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80000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300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6000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资产总额（</w:t>
            </w:r>
            <w:r>
              <w:rPr>
                <w:rStyle w:val="1064"/>
                <w:rFonts w:cs="仿宋"/>
                <w:color w:val="000000" w:themeColor="text1"/>
                <w:sz w:val="21"/>
                <w:szCs w:val="21"/>
                <w:highlight w:val="none"/>
                <w14:textFill>
                  <w14:solidFill>
                    <w14:schemeClr w14:val="tx1"/>
                  </w14:solidFill>
                </w14:textFill>
              </w:rPr>
              <w:t xml:space="preserve">Z</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5000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Z</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80000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300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Z</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5000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Z</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批发业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20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5</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5</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5000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40000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5000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零售业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50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50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500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500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交通运输业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300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20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3000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200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仓储业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20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邮政业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300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20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2000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住宿业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2000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餐饮业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2000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信息传输业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软件和信息技术服务业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50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房地产开发经营</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资产总额（</w:t>
            </w:r>
            <w:r>
              <w:rPr>
                <w:rStyle w:val="1064"/>
                <w:rFonts w:cs="仿宋"/>
                <w:color w:val="000000" w:themeColor="text1"/>
                <w:sz w:val="21"/>
                <w:szCs w:val="21"/>
                <w:highlight w:val="none"/>
                <w14:textFill>
                  <w14:solidFill>
                    <w14:schemeClr w14:val="tx1"/>
                  </w14:solidFill>
                </w14:textFill>
              </w:rPr>
              <w:t xml:space="preserve">Z</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5000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Z</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2000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5000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物业管理</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300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营业收入（</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5000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500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租赁和商务服务业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w:t>
            </w:r>
            <w:r/>
          </w:p>
        </w:tc>
      </w:tr>
      <w:tr>
        <w:trPr>
          <w:tblCellSpacing w:w="15" w:type="dxa"/>
          <w:trHeight w:val="225"/>
        </w:trPr>
        <w:tc>
          <w:tcPr>
            <w:tcW w:w="1356" w:type="dxa"/>
            <w:vAlign w:val="center"/>
            <w:vMerge w:val="continue"/>
            <w:textDirection w:val="lrTb"/>
            <w:noWrap w:val="false"/>
          </w:tcPr>
          <w:p>
            <w:pPr>
              <w:jc w:val="left"/>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资产总额（</w:t>
            </w:r>
            <w:r>
              <w:rPr>
                <w:rStyle w:val="1064"/>
                <w:rFonts w:cs="仿宋"/>
                <w:color w:val="000000" w:themeColor="text1"/>
                <w:sz w:val="21"/>
                <w:szCs w:val="21"/>
                <w:highlight w:val="none"/>
                <w14:textFill>
                  <w14:solidFill>
                    <w14:schemeClr w14:val="tx1"/>
                  </w14:solidFill>
                </w14:textFill>
              </w:rPr>
              <w:t xml:space="preserve">Z</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8000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Z</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120000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Z</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8000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Y</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61"/>
              <w:ind w:firstLine="420"/>
              <w:jc w:val="center"/>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其他未列明行业</w:t>
            </w:r>
            <w:r/>
          </w:p>
        </w:tc>
        <w:tc>
          <w:tcPr>
            <w:tcMar>
              <w:left w:w="105" w:type="dxa"/>
              <w:top w:w="0" w:type="dxa"/>
              <w:right w:w="105" w:type="dxa"/>
              <w:bottom w:w="0" w:type="dxa"/>
            </w:tcMar>
            <w:tcW w:w="171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从业人员（</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p>
        </w:tc>
        <w:tc>
          <w:tcPr>
            <w:tcMar>
              <w:left w:w="105" w:type="dxa"/>
              <w:top w:w="0" w:type="dxa"/>
              <w:right w:w="105" w:type="dxa"/>
              <w:bottom w:w="0" w:type="dxa"/>
            </w:tcMar>
            <w:tcW w:w="47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60"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300</w:t>
            </w:r>
            <w:r/>
          </w:p>
        </w:tc>
        <w:tc>
          <w:tcPr>
            <w:tcMar>
              <w:left w:w="105" w:type="dxa"/>
              <w:top w:w="0" w:type="dxa"/>
              <w:right w:w="105" w:type="dxa"/>
              <w:bottom w:w="0" w:type="dxa"/>
            </w:tcMar>
            <w:tcW w:w="1680" w:type="dxa"/>
            <w:vAlign w:val="center"/>
            <w:textDirection w:val="lrTb"/>
            <w:noWrap w:val="false"/>
          </w:tcPr>
          <w:p>
            <w:pPr>
              <w:pStyle w:val="1061"/>
              <w:jc w:val="center"/>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10</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100</w:t>
            </w:r>
            <w:r/>
          </w:p>
        </w:tc>
        <w:tc>
          <w:tcPr>
            <w:tcMar>
              <w:left w:w="105" w:type="dxa"/>
              <w:top w:w="0" w:type="dxa"/>
              <w:right w:w="105" w:type="dxa"/>
              <w:bottom w:w="0" w:type="dxa"/>
            </w:tcMar>
            <w:tcW w:w="1455" w:type="dxa"/>
            <w:vAlign w:val="center"/>
            <w:textDirection w:val="lrTb"/>
            <w:noWrap w:val="false"/>
          </w:tcPr>
          <w:p>
            <w:pPr>
              <w:pStyle w:val="1061"/>
              <w:ind w:firstLine="420"/>
              <w:spacing w:line="360" w:lineRule="auto"/>
              <w:rPr>
                <w:color w:val="000000" w:themeColor="text1"/>
                <w:sz w:val="21"/>
                <w:szCs w:val="21"/>
                <w:highlight w:val="none"/>
                <w14:textFill>
                  <w14:solidFill>
                    <w14:schemeClr w14:val="tx1"/>
                  </w14:solidFill>
                </w14:textFill>
              </w:rPr>
            </w:pPr>
            <w:r>
              <w:rPr>
                <w:rStyle w:val="1064"/>
                <w:rFonts w:cs="仿宋"/>
                <w:color w:val="000000" w:themeColor="text1"/>
                <w:sz w:val="21"/>
                <w:szCs w:val="21"/>
                <w:highlight w:val="none"/>
                <w14:textFill>
                  <w14:solidFill>
                    <w14:schemeClr w14:val="tx1"/>
                  </w14:solidFill>
                </w14:textFill>
              </w:rPr>
              <w:t xml:space="preserve">X</w:t>
            </w:r>
            <w:r>
              <w:rPr>
                <w:rStyle w:val="1064"/>
                <w:rFonts w:hint="eastAsia" w:cs="仿宋"/>
                <w:color w:val="000000" w:themeColor="text1"/>
                <w:sz w:val="21"/>
                <w:szCs w:val="21"/>
                <w:highlight w:val="none"/>
                <w14:textFill>
                  <w14:solidFill>
                    <w14:schemeClr w14:val="tx1"/>
                  </w14:solidFill>
                </w14:textFill>
              </w:rPr>
              <w:t xml:space="preserve">＜</w:t>
            </w:r>
            <w:r>
              <w:rPr>
                <w:rStyle w:val="1064"/>
                <w:rFonts w:cs="仿宋"/>
                <w:color w:val="000000" w:themeColor="text1"/>
                <w:sz w:val="21"/>
                <w:szCs w:val="21"/>
                <w:highlight w:val="none"/>
                <w14:textFill>
                  <w14:solidFill>
                    <w14:schemeClr w14:val="tx1"/>
                  </w14:solidFill>
                </w14:textFill>
              </w:rPr>
              <w:t xml:space="preserve">10</w:t>
            </w:r>
            <w:r/>
          </w:p>
        </w:tc>
      </w:tr>
    </w:tbl>
    <w:p>
      <w:pPr>
        <w:pStyle w:val="1061"/>
        <w:ind w:firstLine="810"/>
        <w:spacing w:line="360" w:lineRule="auto"/>
        <w:rPr>
          <w:rStyle w:val="1064"/>
          <w:rFonts w:cs="仿宋"/>
          <w:color w:val="000000" w:themeColor="text1"/>
          <w:sz w:val="21"/>
          <w:szCs w:val="21"/>
          <w:highlight w:val="none"/>
          <w14:textFill>
            <w14:solidFill>
              <w14:schemeClr w14:val="tx1"/>
            </w14:solidFill>
          </w14:textFill>
        </w:rPr>
      </w:pPr>
      <w:r>
        <w:rPr>
          <w:rStyle w:val="1064"/>
          <w:rFonts w:hint="eastAsia" w:cs="仿宋"/>
          <w:color w:val="000000" w:themeColor="text1"/>
          <w:sz w:val="21"/>
          <w:szCs w:val="21"/>
          <w:highlight w:val="none"/>
          <w14:textFill>
            <w14:solidFill>
              <w14:schemeClr w14:val="tx1"/>
            </w14:solidFill>
          </w14:textFill>
        </w:rPr>
        <w:t xml:space="preserve">说明：上述标准参照《关于印发中小企业划型标准规定的通知》（工信部联企业</w:t>
      </w:r>
      <w:r>
        <w:rPr>
          <w:rStyle w:val="1064"/>
          <w:rFonts w:cs="仿宋"/>
          <w:color w:val="000000" w:themeColor="text1"/>
          <w:sz w:val="21"/>
          <w:szCs w:val="21"/>
          <w:highlight w:val="none"/>
          <w14:textFill>
            <w14:solidFill>
              <w14:schemeClr w14:val="tx1"/>
            </w14:solidFill>
          </w14:textFill>
        </w:rPr>
        <w:t xml:space="preserve">[2011]300</w:t>
      </w:r>
      <w:r>
        <w:rPr>
          <w:rStyle w:val="1064"/>
          <w:rFonts w:hint="eastAsia" w:cs="仿宋"/>
          <w:color w:val="000000" w:themeColor="text1"/>
          <w:sz w:val="21"/>
          <w:szCs w:val="21"/>
          <w:highlight w:val="none"/>
          <w14:textFill>
            <w14:solidFill>
              <w14:schemeClr w14:val="tx1"/>
            </w14:solidFill>
          </w14:textFill>
        </w:rPr>
        <w:t xml:space="preserve">号），大型、中型和小型企业须同时满足所列指标的下限，否则下划一档；微型企业只须满足所列指标中的一项即可。</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4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企业名称（盖章）：</w:t>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期：</w:t>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center"/>
        <w:spacing w:line="360" w:lineRule="auto"/>
        <w:rPr>
          <w:rFonts w:ascii="宋体"/>
          <w:b/>
          <w:bCs/>
          <w:color w:val="000000" w:themeColor="text1"/>
          <w:highlight w:val="none"/>
          <w14:textFill>
            <w14:solidFill>
              <w14:schemeClr w14:val="tx1"/>
            </w14:solidFill>
          </w14:textFill>
        </w:rPr>
      </w:pPr>
      <w:r>
        <w:rPr>
          <w:rFonts w:ascii="宋体"/>
          <w:b/>
          <w:bCs/>
          <w:color w:val="000000" w:themeColor="text1"/>
          <w:highlight w:val="none"/>
          <w14:textFill>
            <w14:solidFill>
              <w14:schemeClr w14:val="tx1"/>
            </w14:solidFill>
          </w14:textFill>
        </w:rPr>
        <w:br w:type="page" w:clear="all"/>
      </w:r>
      <w:r>
        <w:rPr>
          <w:rFonts w:hint="eastAsia" w:ascii="宋体" w:hAnsi="宋体"/>
          <w:b/>
          <w:bCs/>
          <w:color w:val="000000" w:themeColor="text1"/>
          <w:highlight w:val="none"/>
          <w14:textFill>
            <w14:solidFill>
              <w14:schemeClr w14:val="tx1"/>
            </w14:solidFill>
          </w14:textFill>
        </w:rPr>
        <w:t xml:space="preserve">残疾人福利性单位声明函</w:t>
      </w:r>
      <w:r/>
    </w:p>
    <w:p>
      <w:pPr>
        <w:ind w:firstLine="624"/>
        <w:spacing w:line="588" w:lineRule="exact"/>
        <w:rPr>
          <w:rFonts w:ascii="??_GB2312" w:eastAsia="Times New Roman"/>
          <w:color w:val="000000" w:themeColor="text1"/>
          <w:spacing w:val="6"/>
          <w:sz w:val="30"/>
          <w:szCs w:val="30"/>
          <w:highlight w:val="none"/>
          <w14:textFill>
            <w14:solidFill>
              <w14:schemeClr w14:val="tx1"/>
            </w14:solidFill>
          </w14:textFill>
        </w:rPr>
      </w:pPr>
      <w:r>
        <w:rPr>
          <w:rFonts w:ascii="??_GB2312" w:eastAsia="Times New Roman"/>
          <w:color w:val="000000" w:themeColor="text1"/>
          <w:spacing w:val="6"/>
          <w:sz w:val="30"/>
          <w:szCs w:val="30"/>
          <w:highlight w:val="none"/>
          <w14:textFill>
            <w14:solidFill>
              <w14:schemeClr w14:val="tx1"/>
            </w14:solidFill>
          </w14:textFill>
        </w:rPr>
      </w:r>
      <w:r/>
    </w:p>
    <w:p>
      <w:pPr>
        <w:ind w:firstLine="420"/>
        <w:spacing w:line="588"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民政部</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中国残疾人联合会关于促进残疾人就业政府采购政策的通知》（财库〔</w:t>
      </w:r>
      <w:r>
        <w:rPr>
          <w:rFonts w:ascii="宋体" w:hAnsi="宋体"/>
          <w:color w:val="000000" w:themeColor="text1"/>
          <w:szCs w:val="21"/>
          <w:highlight w:val="none"/>
          <w14:textFill>
            <w14:solidFill>
              <w14:schemeClr w14:val="tx1"/>
            </w14:solidFill>
          </w14:textFill>
        </w:rPr>
        <w:t xml:space="preserve">2017</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 141</w:t>
      </w:r>
      <w:r>
        <w:rPr>
          <w:rFonts w:hint="eastAsia" w:ascii="宋体" w:hAnsi="宋体"/>
          <w:color w:val="000000" w:themeColor="text1"/>
          <w:szCs w:val="21"/>
          <w:highlight w:val="none"/>
          <w14:textFill>
            <w14:solidFill>
              <w14:schemeClr w14:val="tx1"/>
            </w14:solidFill>
          </w14:textFill>
        </w:rPr>
        <w:t xml:space="preserve">号）的规定，本单位为符合条件的残疾人福利性单位，且本单位参加</w:t>
      </w:r>
      <w:r>
        <w:rPr>
          <w:rFonts w:ascii="宋体" w:hAnsi="宋体"/>
          <w:color w:val="000000" w:themeColor="text1"/>
          <w:szCs w:val="21"/>
          <w:highlight w:val="none"/>
          <w14:textFill>
            <w14:solidFill>
              <w14:schemeClr w14:val="tx1"/>
            </w14:solidFill>
          </w14:textFill>
        </w:rPr>
        <w:t xml:space="preserve">______</w:t>
      </w:r>
      <w:r>
        <w:rPr>
          <w:rFonts w:hint="eastAsia" w:ascii="宋体" w:hAnsi="宋体"/>
          <w:color w:val="000000" w:themeColor="text1"/>
          <w:szCs w:val="21"/>
          <w:highlight w:val="none"/>
          <w14:textFill>
            <w14:solidFill>
              <w14:schemeClr w14:val="tx1"/>
            </w14:solidFill>
          </w14:textFill>
        </w:rPr>
        <w:t xml:space="preserve">单位的采购文件编号为</w:t>
      </w:r>
      <w:r>
        <w:rPr>
          <w:rFonts w:ascii="宋体" w:hAnsi="宋体"/>
          <w:color w:val="000000" w:themeColor="text1"/>
          <w:szCs w:val="21"/>
          <w:highlight w:val="none"/>
          <w14:textFill>
            <w14:solidFill>
              <w14:schemeClr w14:val="tx1"/>
            </w14:solidFill>
          </w14:textFill>
        </w:rPr>
        <w:t xml:space="preserve">______</w:t>
      </w:r>
      <w:r>
        <w:rPr>
          <w:rFonts w:hint="eastAsia" w:ascii="宋体" w:hAnsi="宋体"/>
          <w:color w:val="000000" w:themeColor="text1"/>
          <w:szCs w:val="21"/>
          <w:highlight w:val="none"/>
          <w14:textFill>
            <w14:solidFill>
              <w14:schemeClr w14:val="tx1"/>
            </w14:solidFill>
          </w14:textFill>
        </w:rPr>
        <w:t xml:space="preserve">的</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项目采购活动提供本单位制造的产品或服务（由本单位承担工程</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提供服务），或者提供其他残疾人福利性单位制造的产品或服务（不包括使用非残疾人福利性单位注册商标的产品或服务）。</w:t>
      </w:r>
      <w:r/>
    </w:p>
    <w:p>
      <w:pPr>
        <w:ind w:firstLine="420"/>
        <w:spacing w:line="588"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本单位在本次政府采购活动中提供的残疾人福利单位产品报价合计为人民币（大写）</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圆整（￥：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588"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8"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20"/>
        <w:spacing w:line="588"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、供应商如不提供此声明函，价格将不做相应扣除。</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、中标供应商为残疾人福利单位的，此声明函将随中标结果同时公告，接受社会监督）</w:t>
      </w:r>
      <w:r/>
    </w:p>
    <w:p>
      <w:pPr>
        <w:ind w:firstLine="444"/>
        <w:spacing w:line="588" w:lineRule="exact"/>
        <w:rPr>
          <w:rFonts w:ascii="??_GB2312" w:eastAsia="Times New Roman"/>
          <w:color w:val="000000" w:themeColor="text1"/>
          <w:spacing w:val="6"/>
          <w:szCs w:val="21"/>
          <w:highlight w:val="none"/>
          <w14:textFill>
            <w14:solidFill>
              <w14:schemeClr w14:val="tx1"/>
            </w14:solidFill>
          </w14:textFill>
        </w:rPr>
      </w:pPr>
      <w:r>
        <w:rPr>
          <w:rFonts w:ascii="??_GB2312" w:eastAsia="Times New Roman"/>
          <w:color w:val="000000" w:themeColor="text1"/>
          <w:spacing w:val="6"/>
          <w:szCs w:val="21"/>
          <w:highlight w:val="none"/>
          <w14:textFill>
            <w14:solidFill>
              <w14:schemeClr w14:val="tx1"/>
            </w14:solidFill>
          </w14:textFill>
        </w:rPr>
      </w:r>
      <w:r/>
    </w:p>
    <w:p>
      <w:pPr>
        <w:ind w:right="1560" w:firstLine="444"/>
        <w:jc w:val="center"/>
        <w:spacing w:line="588" w:lineRule="exact"/>
        <w:tabs>
          <w:tab w:val="left" w:pos="4860" w:leader="none"/>
        </w:tabs>
        <w:rPr>
          <w:rFonts w:ascii="宋体"/>
          <w:color w:val="000000" w:themeColor="text1"/>
          <w:szCs w:val="21"/>
          <w:highlight w:val="none"/>
          <w14:textFill>
            <w14:solidFill>
              <w14:schemeClr w14:val="tx1"/>
            </w14:solidFill>
          </w14:textFill>
        </w:rPr>
      </w:pPr>
      <w:r>
        <w:rPr>
          <w:rFonts w:ascii="??_GB2312" w:eastAsia="Times New Roman"/>
          <w:color w:val="000000" w:themeColor="text1"/>
          <w:spacing w:val="6"/>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供应商全称（盖章）：</w:t>
      </w:r>
      <w:r/>
    </w:p>
    <w:p>
      <w:pPr>
        <w:ind w:right="1560" w:firstLine="420"/>
        <w:jc w:val="center"/>
        <w:spacing w:line="588" w:lineRule="exact"/>
        <w:tabs>
          <w:tab w:val="left" w:pos="4860" w:leader="none"/>
        </w:tabs>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期：</w:t>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center"/>
        <w:spacing w:line="360" w:lineRule="auto"/>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br w:type="page" w:clear="all"/>
      </w:r>
      <w:r/>
    </w:p>
    <w:p>
      <w:pPr>
        <w:jc w:val="center"/>
        <w:rPr>
          <w:rFonts w:asci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四、开标一览表</w:t>
      </w:r>
      <w:r/>
    </w:p>
    <w:p>
      <w:pPr>
        <w:ind w:firstLine="480"/>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0"/>
        <w:spacing w:line="360" w:lineRule="auto"/>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p>
    <w:p>
      <w:pPr>
        <w:ind w:firstLine="480"/>
        <w:spacing w:line="360"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项目编号：</w:t>
      </w:r>
      <w:r>
        <w:rPr>
          <w:rFonts w:ascii="宋体" w:hAnsi="宋体"/>
          <w:color w:val="000000" w:themeColor="text1"/>
          <w:szCs w:val="21"/>
          <w:highlight w:val="none"/>
          <w14:textFill>
            <w14:solidFill>
              <w14:schemeClr w14:val="tx1"/>
            </w14:solidFill>
          </w14:textFill>
        </w:rPr>
        <w:t xml:space="preserve">                       </w:t>
      </w:r>
      <w:r/>
    </w:p>
    <w:tbl>
      <w:tblPr>
        <w:tblStyle w:val="8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01"/>
              <w:spacing w:line="30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投标货物及服务名称</w:t>
            </w:r>
            <w:r/>
          </w:p>
        </w:tc>
        <w:tc>
          <w:tcPr>
            <w:tcW w:w="6405" w:type="dxa"/>
            <w:vAlign w:val="center"/>
            <w:textDirection w:val="lrTb"/>
            <w:noWrap w:val="false"/>
          </w:tcPr>
          <w:p>
            <w:pPr>
              <w:rPr>
                <w:rFonts w:asci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投标总报价</w:t>
            </w:r>
            <w:r/>
          </w:p>
        </w:tc>
      </w:tr>
      <w:tr>
        <w:trPr>
          <w:cantSplit/>
          <w:trHeight w:val="1697"/>
        </w:trPr>
        <w:tc>
          <w:tcPr>
            <w:tcW w:w="2481" w:type="dxa"/>
            <w:vAlign w:val="center"/>
            <w:textDirection w:val="lrTb"/>
            <w:noWrap w:val="false"/>
          </w:tcPr>
          <w:p>
            <w:pPr>
              <w:pStyle w:val="901"/>
              <w:spacing w:line="30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6405" w:type="dxa"/>
            <w:vAlign w:val="center"/>
            <w:textDirection w:val="lrTb"/>
            <w:noWrap w:val="false"/>
          </w:tcPr>
          <w:p>
            <w:pPr>
              <w:pStyle w:val="1068"/>
              <w:ind w:firstLine="0"/>
              <w:spacing w:before="0" w:after="0" w:line="500" w:lineRule="exact"/>
              <w:rPr>
                <w:rFonts w:asci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小写：</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（人民币：元）</w:t>
            </w:r>
            <w:r/>
          </w:p>
        </w:tc>
      </w:tr>
    </w:tbl>
    <w:p>
      <w:pP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0"/>
        <w:rPr>
          <w:rFonts w:ascii="宋体"/>
          <w:color w:val="000000" w:themeColor="text1"/>
          <w:sz w:val="32"/>
          <w:szCs w:val="32"/>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日期：</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pStyle w:val="1046"/>
        <w:ind w:firstLine="640"/>
        <w:rPr>
          <w:rFonts w:ascii="宋体"/>
          <w:color w:val="000000" w:themeColor="text1"/>
          <w:sz w:val="32"/>
          <w:szCs w:val="32"/>
          <w:highlight w:val="none"/>
          <w14:textFill>
            <w14:solidFill>
              <w14:schemeClr w14:val="tx1"/>
            </w14:solidFill>
          </w14:textFill>
        </w:rPr>
      </w:pPr>
      <w:r>
        <w:rPr>
          <w:rFonts w:ascii="宋体"/>
          <w:color w:val="000000" w:themeColor="text1"/>
          <w:sz w:val="32"/>
          <w:szCs w:val="32"/>
          <w:highlight w:val="none"/>
          <w14:textFill>
            <w14:solidFill>
              <w14:schemeClr w14:val="tx1"/>
            </w14:solidFill>
          </w14:textFill>
        </w:rPr>
      </w:r>
      <w:r/>
    </w:p>
    <w:p>
      <w:pPr>
        <w:pStyle w:val="1046"/>
        <w:ind w:firstLine="640"/>
        <w:rPr>
          <w:rFonts w:ascii="宋体"/>
          <w:color w:val="000000" w:themeColor="text1"/>
          <w:sz w:val="32"/>
          <w:szCs w:val="32"/>
          <w:highlight w:val="none"/>
          <w14:textFill>
            <w14:solidFill>
              <w14:schemeClr w14:val="tx1"/>
            </w14:solidFill>
          </w14:textFill>
        </w:rPr>
      </w:pPr>
      <w:r>
        <w:rPr>
          <w:rFonts w:ascii="宋体"/>
          <w:color w:val="000000" w:themeColor="text1"/>
          <w:sz w:val="32"/>
          <w:szCs w:val="32"/>
          <w:highlight w:val="none"/>
          <w14:textFill>
            <w14:solidFill>
              <w14:schemeClr w14:val="tx1"/>
            </w14:solidFill>
          </w14:textFill>
        </w:rPr>
      </w:r>
      <w:r/>
    </w:p>
    <w:p>
      <w:pPr>
        <w:rPr>
          <w:rFonts w:ascii="宋体"/>
          <w:color w:val="000000" w:themeColor="text1"/>
          <w:sz w:val="32"/>
          <w:szCs w:val="32"/>
          <w:highlight w:val="none"/>
          <w14:textFill>
            <w14:solidFill>
              <w14:schemeClr w14:val="tx1"/>
            </w14:solidFill>
          </w14:textFill>
        </w:rPr>
      </w:pPr>
      <w:r>
        <w:rPr>
          <w:rFonts w:ascii="宋体"/>
          <w:color w:val="000000" w:themeColor="text1"/>
          <w:sz w:val="32"/>
          <w:szCs w:val="32"/>
          <w:highlight w:val="none"/>
          <w14:textFill>
            <w14:solidFill>
              <w14:schemeClr w14:val="tx1"/>
            </w14:solidFill>
          </w14:textFill>
        </w:rPr>
        <w:br w:type="page" w:clear="all"/>
      </w:r>
      <w:r/>
    </w:p>
    <w:p>
      <w:pPr>
        <w:jc w:val="center"/>
        <w:rPr>
          <w:rFonts w:asci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五、分项报价表</w:t>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center"/>
        <w:rPr>
          <w:rFonts w:asci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分项报价表（包</w:t>
      </w:r>
      <w:r>
        <w:rPr>
          <w:rFonts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w:t>
      </w:r>
      <w:r/>
    </w:p>
    <w:tbl>
      <w:tblPr>
        <w:tblStyle w:val="819"/>
        <w:tblpPr w:horzAnchor="page" w:tblpX="1139" w:vertAnchor="text" w:tblpY="63" w:leftFromText="180" w:topFromText="0" w:rightFromText="180" w:bottomFromText="0"/>
        <w:tblW w:w="9720" w:type="dxa"/>
        <w:tblInd w:w="0" w:type="dxa"/>
        <w:tblLayout w:type="fixed"/>
        <w:tblCellMar>
          <w:left w:w="108" w:type="dxa"/>
          <w:top w:w="0" w:type="dxa"/>
          <w:right w:w="108" w:type="dxa"/>
          <w:bottom w:w="0" w:type="dxa"/>
        </w:tblCellMar>
        <w:tblLook w:val="04A0" w:firstRow="1" w:lastRow="0" w:firstColumn="1" w:lastColumn="0" w:noHBand="0" w:noVBand="1"/>
      </w:tblPr>
      <w:tblGrid>
        <w:gridCol w:w="762"/>
        <w:gridCol w:w="1113"/>
        <w:gridCol w:w="1299"/>
        <w:gridCol w:w="1023"/>
        <w:gridCol w:w="1118"/>
        <w:gridCol w:w="1323"/>
        <w:gridCol w:w="3082"/>
      </w:tblGrid>
      <w:tr>
        <w:trPr>
          <w:trHeight w:val="38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单价</w:t>
            </w:r>
            <w:r>
              <w:rPr>
                <w:rFonts w:ascii="宋体" w:hAnsi="宋体" w:cs="宋体"/>
                <w:b/>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（月）</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总价（年）</w:t>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测算依据</w:t>
            </w:r>
            <w:r/>
          </w:p>
        </w:tc>
      </w:tr>
      <w:tr>
        <w:trPr>
          <w:trHeight w:val="450"/>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13" w:type="dxa"/>
            <w:vAlign w:val="center"/>
            <w:vMerge w:val="restart"/>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人员工资</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管理人员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保洁人员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83</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中转站操作工</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驾驶员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66"/>
        </w:trPr>
        <w:tc>
          <w:tcPr>
            <w:tcBorders>
              <w:top w:val="single" w:color="auto" w:sz="4" w:space="0"/>
              <w:left w:val="single" w:color="auto" w:sz="4" w:space="0"/>
              <w:bottom w:val="single" w:color="auto" w:sz="4" w:space="0"/>
              <w:right w:val="single" w:color="auto" w:sz="4" w:space="0"/>
            </w:tcBorders>
            <w:tcW w:w="762" w:type="dxa"/>
            <w:vAlign w:val="center"/>
            <w:vMerge w:val="continue"/>
            <w:textDirection w:val="lrTb"/>
            <w:noWrap w:val="false"/>
          </w:tcPr>
          <w:p>
            <w:pPr>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3" w:type="dxa"/>
            <w:vAlign w:val="center"/>
            <w:vMerge w:val="continue"/>
            <w:textDirection w:val="lrTb"/>
            <w:noWrap w:val="false"/>
          </w:tcPr>
          <w:p>
            <w:pP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垃圾清运工</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社会保险</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按扬州市最新政策执行</w:t>
            </w:r>
            <w:r/>
          </w:p>
        </w:tc>
      </w:tr>
      <w:tr>
        <w:trPr>
          <w:trHeight w:val="412"/>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医疗保险</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按扬州市最新政策执行</w:t>
            </w:r>
            <w:r/>
          </w:p>
        </w:tc>
      </w:tr>
      <w:tr>
        <w:trPr>
          <w:trHeight w:val="123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住房公积金</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widowControl/>
              <w:rPr>
                <w:rFonts w:ascii="宋体"/>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按人社局要求，当项目人员工资报价</w:t>
            </w:r>
            <w:r>
              <w:rPr>
                <w:rFonts w:ascii="宋体" w:cs="Calibri"/>
                <w:color w:val="000000" w:themeColor="text1"/>
                <w:szCs w:val="21"/>
                <w:highlight w:val="none"/>
                <w14:textFill>
                  <w14:solidFill>
                    <w14:schemeClr w14:val="tx1"/>
                  </w14:solidFill>
                </w14:textFill>
              </w:rPr>
              <w:t xml:space="preserve">-</w:t>
            </w:r>
            <w:r>
              <w:rPr>
                <w:rFonts w:hint="eastAsia" w:ascii="宋体" w:hAnsi="宋体" w:cs="Calibri"/>
                <w:color w:val="000000" w:themeColor="text1"/>
                <w:szCs w:val="21"/>
                <w:highlight w:val="none"/>
                <w14:textFill>
                  <w14:solidFill>
                    <w14:schemeClr w14:val="tx1"/>
                  </w14:solidFill>
                </w14:textFill>
              </w:rPr>
              <w:t xml:space="preserve">项目人员按下限自行缴存的住房公积金≤我市最低工资标准，测算的住房公积金应为企业缴纳和个人缴纳之和。</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5</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法定节假日加班费</w:t>
            </w:r>
            <w:r>
              <w:rPr>
                <w:rFonts w:ascii="宋体" w:hAnsi="宋体" w:cs="宋体"/>
                <w:color w:val="000000" w:themeColor="text1"/>
                <w:szCs w:val="21"/>
                <w:highlight w:val="none"/>
                <w14:textFill>
                  <w14:solidFill>
                    <w14:schemeClr w14:val="tx1"/>
                  </w14:solidFill>
                </w14:textFill>
              </w:rPr>
              <w:t xml:space="preserve">      </w:t>
            </w:r>
            <w:r/>
          </w:p>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w:t>
            </w:r>
            <w:r>
              <w:rPr>
                <w:rFonts w:ascii="宋体" w:hAnsi="宋体" w:cs="宋体"/>
                <w:color w:val="000000" w:themeColor="text1"/>
                <w:szCs w:val="21"/>
                <w:highlight w:val="none"/>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天计算）</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t xml:space="preserve">103</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基本工资</w:t>
            </w:r>
            <w:r>
              <w:rPr>
                <w:rFonts w:ascii="宋体" w:hAnsi="宋体" w:cs="宋体"/>
                <w:color w:val="000000" w:themeColor="text1"/>
                <w:szCs w:val="21"/>
                <w:highlight w:val="none"/>
                <w14:textFill>
                  <w14:solidFill>
                    <w14:schemeClr w14:val="tx1"/>
                  </w14:solidFill>
                </w14:textFill>
              </w:rPr>
              <w:t xml:space="preserve">/21.75*13</w:t>
            </w:r>
            <w:r>
              <w:rPr>
                <w:rFonts w:hint="eastAsia" w:ascii="宋体" w:hAnsi="宋体" w:cs="宋体"/>
                <w:color w:val="000000" w:themeColor="text1"/>
                <w:szCs w:val="21"/>
                <w:highlight w:val="none"/>
                <w14:textFill>
                  <w14:solidFill>
                    <w14:schemeClr w14:val="tx1"/>
                  </w14:solidFill>
                </w14:textFill>
              </w:rPr>
              <w:t xml:space="preserve">天</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倍</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高温补贴</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t xml:space="preserve">103</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不低于国家相关规定标准</w:t>
            </w:r>
            <w:r>
              <w:rPr>
                <w:rFonts w:ascii="宋体" w:hAnsi="宋体" w:cs="宋体"/>
                <w:color w:val="000000" w:themeColor="text1"/>
                <w:szCs w:val="21"/>
                <w:highlight w:val="none"/>
                <w14:textFill>
                  <w14:solidFill>
                    <w14:schemeClr w14:val="tx1"/>
                  </w14:solidFill>
                </w14:textFill>
              </w:rPr>
              <w:t xml:space="preserve">300</w:t>
            </w:r>
            <w:r>
              <w:rPr>
                <w:rFonts w:hint="eastAsia" w:ascii="宋体" w:hAnsi="宋体" w:cs="宋体"/>
                <w:color w:val="000000" w:themeColor="text1"/>
                <w:szCs w:val="21"/>
                <w:highlight w:val="none"/>
                <w14:textFill>
                  <w14:solidFill>
                    <w14:schemeClr w14:val="tx1"/>
                  </w14:solidFill>
                </w14:textFill>
              </w:rPr>
              <w:t xml:space="preserve">元</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月，计</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月</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年</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人</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节假日福利费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t xml:space="preserve">103</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8</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服装费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t xml:space="preserve">103</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509"/>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9</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耗材费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widowControl/>
              <w:rPr>
                <w:rFonts w:ascii="宋体" w:cs="宋体"/>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含</w:t>
            </w:r>
            <w:r>
              <w:rPr>
                <w:rFonts w:ascii="宋体" w:hAnsi="宋体" w:cs="Calibri"/>
                <w:color w:val="000000" w:themeColor="text1"/>
                <w:szCs w:val="21"/>
                <w:highlight w:val="none"/>
                <w14:textFill>
                  <w14:solidFill>
                    <w14:schemeClr w14:val="tx1"/>
                  </w14:solidFill>
                </w14:textFill>
              </w:rPr>
              <w:t xml:space="preserve">240L</w:t>
            </w:r>
            <w:r>
              <w:rPr>
                <w:rFonts w:hint="eastAsia" w:ascii="宋体" w:hAnsi="宋体" w:cs="Calibri"/>
                <w:color w:val="000000" w:themeColor="text1"/>
                <w:szCs w:val="21"/>
                <w:highlight w:val="none"/>
                <w14:textFill>
                  <w14:solidFill>
                    <w14:schemeClr w14:val="tx1"/>
                  </w14:solidFill>
                </w14:textFill>
              </w:rPr>
              <w:t xml:space="preserve">垃圾桶全部换新费用（质量标准需经采购人确认验收</w:t>
            </w:r>
            <w:r/>
          </w:p>
        </w:tc>
      </w:tr>
      <w:tr>
        <w:trPr>
          <w:trHeight w:val="509"/>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10</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管理费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按本项目所需进行测算。</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税费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按国家相关政策</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12</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暂列金</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100000</w:t>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不可竞争费</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13</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其他费用（投标人可自行添加）</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bl>
    <w:p>
      <w:pPr>
        <w:ind w:firstLine="480"/>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jc w:val="left"/>
        <w:spacing w:line="360" w:lineRule="auto"/>
        <w:widowControl/>
        <w:rPr>
          <w:rFonts w:ascii="宋体" w:cs="宋体"/>
          <w:b/>
          <w:bCs/>
          <w:i/>
          <w:color w:val="000000" w:themeColor="text1"/>
          <w:szCs w:val="21"/>
          <w:highlight w:val="none"/>
          <w:u w:val="single"/>
          <w14:textFill>
            <w14:solidFill>
              <w14:schemeClr w14:val="tx1"/>
            </w14:solidFill>
          </w14:textFill>
        </w:rPr>
      </w:pPr>
      <w:r>
        <w:rPr>
          <w:rFonts w:ascii="宋体" w:hAnsi="宋体" w:cs="宋体"/>
          <w:i/>
          <w:color w:val="000000" w:themeColor="text1"/>
          <w:szCs w:val="21"/>
          <w:highlight w:val="none"/>
          <w14:textFill>
            <w14:solidFill>
              <w14:schemeClr w14:val="tx1"/>
            </w14:solidFill>
          </w14:textFill>
        </w:rPr>
        <w:t xml:space="preserve">1</w:t>
      </w:r>
      <w:r>
        <w:rPr>
          <w:rFonts w:hint="eastAsia" w:ascii="宋体" w:hAnsi="宋体" w:cs="宋体"/>
          <w:i/>
          <w:color w:val="000000" w:themeColor="text1"/>
          <w:szCs w:val="21"/>
          <w:highlight w:val="none"/>
          <w14:textFill>
            <w14:solidFill>
              <w14:schemeClr w14:val="tx1"/>
            </w14:solidFill>
          </w14:textFill>
        </w:rPr>
        <w:t xml:space="preserve">、</w:t>
      </w:r>
      <w:r>
        <w:rPr>
          <w:rFonts w:hint="eastAsia" w:ascii="宋体" w:hAnsi="宋体" w:cs="宋体"/>
          <w:b/>
          <w:bCs/>
          <w:i/>
          <w:color w:val="000000" w:themeColor="text1"/>
          <w:szCs w:val="21"/>
          <w:highlight w:val="none"/>
          <w:u w:val="single"/>
          <w14:textFill>
            <w14:solidFill>
              <w14:schemeClr w14:val="tx1"/>
            </w14:solidFill>
          </w14:textFill>
        </w:rPr>
        <w:t xml:space="preserve">分项报价表中（除其他费用可自行添加外）列明的项目不可修改，且应当逐项填写。</w:t>
      </w:r>
      <w:r/>
    </w:p>
    <w:p>
      <w:pPr>
        <w:jc w:val="left"/>
        <w:spacing w:line="360" w:lineRule="auto"/>
        <w:widowControl/>
        <w:rPr>
          <w:rFonts w:ascii="宋体" w:cs="宋体"/>
          <w:b/>
          <w:bCs/>
          <w:i/>
          <w:color w:val="000000" w:themeColor="text1"/>
          <w:szCs w:val="21"/>
          <w:highlight w:val="none"/>
          <w:u w:val="single"/>
          <w14:textFill>
            <w14:solidFill>
              <w14:schemeClr w14:val="tx1"/>
            </w14:solidFill>
          </w14:textFill>
        </w:rPr>
      </w:pPr>
      <w:r>
        <w:rPr>
          <w:rFonts w:ascii="宋体" w:hAnsi="宋体" w:cs="宋体"/>
          <w:b/>
          <w:bCs/>
          <w:i/>
          <w:color w:val="000000" w:themeColor="text1"/>
          <w:szCs w:val="21"/>
          <w:highlight w:val="none"/>
          <w14:textFill>
            <w14:solidFill>
              <w14:schemeClr w14:val="tx1"/>
            </w14:solidFill>
          </w14:textFill>
        </w:rPr>
        <w:t xml:space="preserve">2</w:t>
      </w:r>
      <w:r>
        <w:rPr>
          <w:rFonts w:hint="eastAsia" w:ascii="宋体" w:hAnsi="宋体" w:cs="宋体"/>
          <w:b/>
          <w:bCs/>
          <w:i/>
          <w:color w:val="000000" w:themeColor="text1"/>
          <w:szCs w:val="21"/>
          <w:highlight w:val="none"/>
          <w14:textFill>
            <w14:solidFill>
              <w14:schemeClr w14:val="tx1"/>
            </w14:solidFill>
          </w14:textFill>
        </w:rPr>
        <w:t xml:space="preserve">、</w:t>
      </w:r>
      <w:r>
        <w:rPr>
          <w:rFonts w:hint="eastAsia" w:ascii="宋体" w:hAnsi="宋体" w:cs="宋体"/>
          <w:b/>
          <w:bCs/>
          <w:i/>
          <w:color w:val="000000" w:themeColor="text1"/>
          <w:szCs w:val="21"/>
          <w:highlight w:val="none"/>
          <w:u w:val="single"/>
          <w14:textFill>
            <w14:solidFill>
              <w14:schemeClr w14:val="tx1"/>
            </w14:solidFill>
          </w14:textFill>
        </w:rPr>
        <w:t xml:space="preserve">分项报价表中已注明的“数量”这一列的具体数字只可适当增加但不可减少。</w:t>
      </w:r>
      <w:r/>
    </w:p>
    <w:p>
      <w:pPr>
        <w:jc w:val="left"/>
        <w:spacing w:line="360" w:lineRule="auto"/>
        <w:widowControl/>
        <w:rPr>
          <w:rFonts w:ascii="宋体" w:cs="宋体"/>
          <w:b/>
          <w:bCs/>
          <w:i/>
          <w:color w:val="000000" w:themeColor="text1"/>
          <w:szCs w:val="21"/>
          <w:highlight w:val="none"/>
          <w:u w:val="single"/>
          <w14:textFill>
            <w14:solidFill>
              <w14:schemeClr w14:val="tx1"/>
            </w14:solidFill>
          </w14:textFill>
        </w:rPr>
      </w:pPr>
      <w:r>
        <w:rPr>
          <w:rFonts w:ascii="宋体" w:hAnsi="宋体" w:cs="宋体"/>
          <w:b/>
          <w:bCs/>
          <w:i/>
          <w:color w:val="000000" w:themeColor="text1"/>
          <w:szCs w:val="21"/>
          <w:highlight w:val="none"/>
          <w14:textFill>
            <w14:solidFill>
              <w14:schemeClr w14:val="tx1"/>
            </w14:solidFill>
          </w14:textFill>
        </w:rPr>
        <w:t xml:space="preserve">3</w:t>
      </w:r>
      <w:r>
        <w:rPr>
          <w:rFonts w:hint="eastAsia" w:ascii="宋体" w:hAnsi="宋体" w:cs="宋体"/>
          <w:b/>
          <w:bCs/>
          <w:i/>
          <w:color w:val="000000" w:themeColor="text1"/>
          <w:szCs w:val="21"/>
          <w:highlight w:val="none"/>
          <w14:textFill>
            <w14:solidFill>
              <w14:schemeClr w14:val="tx1"/>
            </w14:solidFill>
          </w14:textFill>
        </w:rPr>
        <w:t xml:space="preserve">、</w:t>
      </w:r>
      <w:r>
        <w:rPr>
          <w:rFonts w:hint="eastAsia" w:ascii="宋体" w:hAnsi="宋体" w:cs="宋体"/>
          <w:b/>
          <w:bCs/>
          <w:i/>
          <w:color w:val="000000" w:themeColor="text1"/>
          <w:szCs w:val="21"/>
          <w:highlight w:val="none"/>
          <w:u w:val="single"/>
          <w14:textFill>
            <w14:solidFill>
              <w14:schemeClr w14:val="tx1"/>
            </w14:solidFill>
          </w14:textFill>
        </w:rPr>
        <w:t xml:space="preserve">分项报价表严禁总价让利。</w:t>
      </w:r>
      <w:r/>
    </w:p>
    <w:p>
      <w:pPr>
        <w:jc w:val="left"/>
        <w:spacing w:line="360" w:lineRule="auto"/>
        <w:widowControl/>
        <w:rPr>
          <w:rFonts w:ascii="宋体" w:cs="宋体"/>
          <w:b/>
          <w:bCs/>
          <w:i/>
          <w:color w:val="000000" w:themeColor="text1"/>
          <w:szCs w:val="21"/>
          <w:highlight w:val="none"/>
          <w:u w:val="single"/>
          <w14:textFill>
            <w14:solidFill>
              <w14:schemeClr w14:val="tx1"/>
            </w14:solidFill>
          </w14:textFill>
        </w:rPr>
      </w:pPr>
      <w:r>
        <w:rPr>
          <w:rFonts w:ascii="宋体" w:hAnsi="宋体" w:cs="宋体"/>
          <w:b/>
          <w:bCs/>
          <w:i/>
          <w:color w:val="000000" w:themeColor="text1"/>
          <w:szCs w:val="21"/>
          <w:highlight w:val="none"/>
          <w:u w:val="single"/>
          <w14:textFill>
            <w14:solidFill>
              <w14:schemeClr w14:val="tx1"/>
            </w14:solidFill>
          </w14:textFill>
        </w:rPr>
        <w:t xml:space="preserve">4</w:t>
      </w:r>
      <w:r>
        <w:rPr>
          <w:rFonts w:hint="eastAsia" w:ascii="宋体" w:hAnsi="宋体" w:cs="宋体"/>
          <w:b/>
          <w:bCs/>
          <w:i/>
          <w:color w:val="000000" w:themeColor="text1"/>
          <w:szCs w:val="21"/>
          <w:highlight w:val="none"/>
          <w:u w:val="single"/>
          <w14:textFill>
            <w14:solidFill>
              <w14:schemeClr w14:val="tx1"/>
            </w14:solidFill>
          </w14:textFill>
        </w:rPr>
        <w:t xml:space="preserve">、分项报价表中所列明的项目不接受赠送情形。</w:t>
      </w:r>
      <w:r/>
    </w:p>
    <w:p>
      <w:pPr>
        <w:rPr>
          <w:rFonts w:asci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5</w:t>
      </w:r>
      <w:r>
        <w:rPr>
          <w:rFonts w:hint="eastAsia" w:ascii="宋体" w:hAnsi="宋体" w:cs="Calibri"/>
          <w:color w:val="000000" w:themeColor="text1"/>
          <w:szCs w:val="21"/>
          <w:highlight w:val="none"/>
          <w14:textFill>
            <w14:solidFill>
              <w14:schemeClr w14:val="tx1"/>
            </w14:solidFill>
          </w14:textFill>
        </w:rPr>
        <w:t xml:space="preserve">、</w:t>
      </w:r>
      <w:r>
        <w:rPr>
          <w:rFonts w:hint="eastAsia" w:ascii="宋体" w:hAnsi="宋体" w:cs="Calibri"/>
          <w:iCs/>
          <w:color w:val="000000" w:themeColor="text1"/>
          <w:szCs w:val="21"/>
          <w:highlight w:val="none"/>
          <w14:textFill>
            <w14:solidFill>
              <w14:schemeClr w14:val="tx1"/>
            </w14:solidFill>
          </w14:textFill>
        </w:rPr>
        <w:t xml:space="preserve">采购人要求依法缴纳社保、医保、住房公积金的人数为</w:t>
      </w:r>
      <w:r>
        <w:rPr>
          <w:rFonts w:ascii="宋体" w:hAnsi="宋体" w:cs="Calibri"/>
          <w:iCs/>
          <w:color w:val="000000" w:themeColor="text1"/>
          <w:szCs w:val="21"/>
          <w:highlight w:val="none"/>
          <w:u w:val="single"/>
          <w14:textFill>
            <w14:solidFill>
              <w14:schemeClr w14:val="tx1"/>
            </w14:solidFill>
          </w14:textFill>
        </w:rPr>
        <w:t xml:space="preserve">103</w:t>
      </w:r>
      <w:r>
        <w:rPr>
          <w:rFonts w:hint="eastAsia" w:ascii="宋体" w:hAnsi="宋体" w:cs="Calibri"/>
          <w:iCs/>
          <w:color w:val="000000" w:themeColor="text1"/>
          <w:szCs w:val="21"/>
          <w:highlight w:val="none"/>
          <w14:textFill>
            <w14:solidFill>
              <w14:schemeClr w14:val="tx1"/>
            </w14:solidFill>
          </w14:textFill>
        </w:rPr>
        <w:t xml:space="preserve">人，</w:t>
      </w:r>
      <w:r>
        <w:rPr>
          <w:rFonts w:hint="eastAsia" w:ascii="宋体" w:hAnsi="宋体" w:cs="Calibri"/>
          <w:color w:val="000000" w:themeColor="text1"/>
          <w:szCs w:val="21"/>
          <w:highlight w:val="none"/>
          <w14:textFill>
            <w14:solidFill>
              <w14:schemeClr w14:val="tx1"/>
            </w14:solidFill>
          </w14:textFill>
        </w:rPr>
        <w:t xml:space="preserve">如投标人享受社保、医保、住房公积金优惠政策或符合相关政策法规，请提供相应证明材料，并承诺材料真实有效，以便采购人、监管部门履约期间核查。若发现投标人在多个项目重复享受优惠政策的，将自行承担相应责任。</w:t>
      </w:r>
      <w:r/>
    </w:p>
    <w:p>
      <w:pPr>
        <w:ind w:firstLine="480"/>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pStyle w:val="881"/>
        <w:rPr>
          <w:rFonts w:hAnsi="宋体" w:cs="Arial"/>
          <w:b/>
          <w:bCs/>
          <w:color w:val="000000" w:themeColor="text1"/>
          <w:highlight w:val="none"/>
          <w14:textFill>
            <w14:solidFill>
              <w14:schemeClr w14:val="tx1"/>
            </w14:solidFill>
          </w14:textFill>
        </w:rPr>
      </w:pPr>
      <w:r>
        <w:rPr>
          <w:rFonts w:hAns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jc w:val="left"/>
        <w:widowControl/>
        <w:rPr>
          <w:rFonts w:ascii="宋体" w:cs="Arial"/>
          <w:b/>
          <w:bCs/>
          <w:color w:val="000000" w:themeColor="text1"/>
          <w:highlight w:val="none"/>
          <w14:textFill>
            <w14:solidFill>
              <w14:schemeClr w14:val="tx1"/>
            </w14:solidFill>
          </w14:textFill>
        </w:rPr>
      </w:pPr>
      <w:r>
        <w:rPr>
          <w:rFonts w:ascii="宋体" w:cs="Arial"/>
          <w:b/>
          <w:bCs/>
          <w:color w:val="000000" w:themeColor="text1"/>
          <w:highlight w:val="none"/>
          <w14:textFill>
            <w14:solidFill>
              <w14:schemeClr w14:val="tx1"/>
            </w14:solidFill>
          </w14:textFill>
        </w:rPr>
      </w:r>
      <w:r/>
    </w:p>
    <w:p>
      <w:pP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br w:type="page" w:clear="all"/>
      </w:r>
      <w:r/>
    </w:p>
    <w:p>
      <w:pPr>
        <w:jc w:val="center"/>
        <w:rPr>
          <w:rFonts w:ascii="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分项报价表（包</w:t>
      </w:r>
      <w:r>
        <w:rPr>
          <w:rFonts w:ascii="宋体" w:hAnsi="宋体" w:cs="宋体"/>
          <w:b/>
          <w:color w:val="000000" w:themeColor="text1"/>
          <w:sz w:val="24"/>
          <w:highlight w:val="none"/>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w:t>
      </w:r>
      <w:r/>
    </w:p>
    <w:p>
      <w:pPr>
        <w:jc w:val="cente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r>
      <w:r/>
    </w:p>
    <w:tbl>
      <w:tblPr>
        <w:tblStyle w:val="819"/>
        <w:tblpPr w:horzAnchor="page" w:tblpX="1139" w:vertAnchor="text" w:tblpY="63" w:leftFromText="180" w:topFromText="0" w:rightFromText="180" w:bottomFromText="0"/>
        <w:tblW w:w="9720" w:type="dxa"/>
        <w:tblInd w:w="0" w:type="dxa"/>
        <w:tblLayout w:type="fixed"/>
        <w:tblCellMar>
          <w:left w:w="108" w:type="dxa"/>
          <w:top w:w="0" w:type="dxa"/>
          <w:right w:w="108" w:type="dxa"/>
          <w:bottom w:w="0" w:type="dxa"/>
        </w:tblCellMar>
        <w:tblLook w:val="04A0" w:firstRow="1" w:lastRow="0" w:firstColumn="1" w:lastColumn="0" w:noHBand="0" w:noVBand="1"/>
      </w:tblPr>
      <w:tblGrid>
        <w:gridCol w:w="762"/>
        <w:gridCol w:w="1113"/>
        <w:gridCol w:w="1299"/>
        <w:gridCol w:w="1023"/>
        <w:gridCol w:w="1118"/>
        <w:gridCol w:w="1323"/>
        <w:gridCol w:w="3082"/>
      </w:tblGrid>
      <w:tr>
        <w:trPr>
          <w:trHeight w:val="38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单价</w:t>
            </w:r>
            <w:r>
              <w:rPr>
                <w:rFonts w:ascii="宋体" w:hAnsi="宋体" w:cs="宋体"/>
                <w:b/>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（月）</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总价（年）</w:t>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测算依据</w:t>
            </w:r>
            <w:r/>
          </w:p>
        </w:tc>
      </w:tr>
      <w:tr>
        <w:trPr>
          <w:trHeight w:val="450"/>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13" w:type="dxa"/>
            <w:vAlign w:val="center"/>
            <w:vMerge w:val="restart"/>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人员工资</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管理人员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保洁人员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60</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中转站操作工</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建筑垃圾临时堆放点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Calibri" w:hAnsi="Calibri"/>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驾驶员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垃圾清运工</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66"/>
        </w:trPr>
        <w:tc>
          <w:tcPr>
            <w:tcBorders>
              <w:top w:val="single" w:color="auto" w:sz="4" w:space="0"/>
              <w:left w:val="single" w:color="auto" w:sz="4" w:space="0"/>
              <w:bottom w:val="single" w:color="auto" w:sz="4" w:space="0"/>
              <w:right w:val="single" w:color="auto" w:sz="4" w:space="0"/>
            </w:tcBorders>
            <w:tcW w:w="762" w:type="dxa"/>
            <w:vAlign w:val="center"/>
            <w:vMerge w:val="continue"/>
            <w:textDirection w:val="lrTb"/>
            <w:noWrap w:val="false"/>
          </w:tcPr>
          <w:p>
            <w:pP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3" w:type="dxa"/>
            <w:vAlign w:val="center"/>
            <w:vMerge w:val="continue"/>
            <w:textDirection w:val="lrTb"/>
            <w:noWrap w:val="false"/>
          </w:tcPr>
          <w:p>
            <w:pP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绿化养护</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社会保险</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412"/>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医疗保险</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123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住房公积金</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widowControl/>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widowControl/>
              <w:rPr>
                <w:rFonts w:ascii="宋体"/>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按人社局要求，当项目人员工资报价</w:t>
            </w:r>
            <w:r>
              <w:rPr>
                <w:rFonts w:ascii="宋体" w:cs="Calibri"/>
                <w:color w:val="000000" w:themeColor="text1"/>
                <w:szCs w:val="21"/>
                <w:highlight w:val="none"/>
                <w14:textFill>
                  <w14:solidFill>
                    <w14:schemeClr w14:val="tx1"/>
                  </w14:solidFill>
                </w14:textFill>
              </w:rPr>
              <w:t xml:space="preserve">-</w:t>
            </w:r>
            <w:r>
              <w:rPr>
                <w:rFonts w:hint="eastAsia" w:ascii="宋体" w:hAnsi="宋体" w:cs="Calibri"/>
                <w:color w:val="000000" w:themeColor="text1"/>
                <w:szCs w:val="21"/>
                <w:highlight w:val="none"/>
                <w14:textFill>
                  <w14:solidFill>
                    <w14:schemeClr w14:val="tx1"/>
                  </w14:solidFill>
                </w14:textFill>
              </w:rPr>
              <w:t xml:space="preserve">项目人员按下限自行缴存的住房公积金≤我市最低工资标准，测算的住房公积金应为企业缴纳和个人缴纳之和。</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5</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法定节假日加班费</w:t>
            </w:r>
            <w:r>
              <w:rPr>
                <w:rFonts w:ascii="宋体" w:hAnsi="宋体" w:cs="宋体"/>
                <w:color w:val="000000" w:themeColor="text1"/>
                <w:szCs w:val="21"/>
                <w:highlight w:val="none"/>
                <w14:textFill>
                  <w14:solidFill>
                    <w14:schemeClr w14:val="tx1"/>
                  </w14:solidFill>
                </w14:textFill>
              </w:rPr>
              <w:t xml:space="preserve">      </w:t>
            </w:r>
            <w:r/>
          </w:p>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w:t>
            </w:r>
            <w:r>
              <w:rPr>
                <w:rFonts w:ascii="宋体" w:hAnsi="宋体" w:cs="宋体"/>
                <w:color w:val="000000" w:themeColor="text1"/>
                <w:szCs w:val="21"/>
                <w:highlight w:val="none"/>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天计算）</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t xml:space="preserve">76</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基本工资</w:t>
            </w:r>
            <w:r>
              <w:rPr>
                <w:rFonts w:ascii="宋体" w:hAnsi="宋体" w:cs="宋体"/>
                <w:color w:val="000000" w:themeColor="text1"/>
                <w:szCs w:val="21"/>
                <w:highlight w:val="none"/>
                <w14:textFill>
                  <w14:solidFill>
                    <w14:schemeClr w14:val="tx1"/>
                  </w14:solidFill>
                </w14:textFill>
              </w:rPr>
              <w:t xml:space="preserve">/21.75*13</w:t>
            </w:r>
            <w:r>
              <w:rPr>
                <w:rFonts w:hint="eastAsia" w:ascii="宋体" w:hAnsi="宋体" w:cs="宋体"/>
                <w:color w:val="000000" w:themeColor="text1"/>
                <w:szCs w:val="21"/>
                <w:highlight w:val="none"/>
                <w14:textFill>
                  <w14:solidFill>
                    <w14:schemeClr w14:val="tx1"/>
                  </w14:solidFill>
                </w14:textFill>
              </w:rPr>
              <w:t xml:space="preserve">天</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倍</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高温补贴</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t xml:space="preserve">76</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不低于国家相关规定标准</w:t>
            </w:r>
            <w:r>
              <w:rPr>
                <w:rFonts w:ascii="宋体" w:hAnsi="宋体" w:cs="宋体"/>
                <w:color w:val="000000" w:themeColor="text1"/>
                <w:szCs w:val="21"/>
                <w:highlight w:val="none"/>
                <w14:textFill>
                  <w14:solidFill>
                    <w14:schemeClr w14:val="tx1"/>
                  </w14:solidFill>
                </w14:textFill>
              </w:rPr>
              <w:t xml:space="preserve">300</w:t>
            </w:r>
            <w:r>
              <w:rPr>
                <w:rFonts w:hint="eastAsia" w:ascii="宋体" w:hAnsi="宋体" w:cs="宋体"/>
                <w:color w:val="000000" w:themeColor="text1"/>
                <w:szCs w:val="21"/>
                <w:highlight w:val="none"/>
                <w14:textFill>
                  <w14:solidFill>
                    <w14:schemeClr w14:val="tx1"/>
                  </w14:solidFill>
                </w14:textFill>
              </w:rPr>
              <w:t xml:space="preserve">元</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月，计</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月</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年</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人</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节假日福利费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t xml:space="preserve">76</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8</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服装费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t xml:space="preserve">76</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509"/>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9</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耗材费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widowControl/>
              <w:rPr>
                <w:rFonts w:ascii="宋体" w:cs="Calibri"/>
                <w:color w:val="000000" w:themeColor="text1"/>
                <w:szCs w:val="21"/>
                <w:highlight w:val="none"/>
                <w14:textFill>
                  <w14:solidFill>
                    <w14:schemeClr w14:val="tx1"/>
                  </w14:solidFill>
                </w14:textFill>
              </w:rPr>
            </w:pPr>
            <w:r>
              <w:rPr>
                <w:rFonts w:hint="eastAsia" w:ascii="宋体" w:hAnsi="宋体" w:cs="Calibri"/>
                <w:color w:val="000000" w:themeColor="text1"/>
                <w:szCs w:val="21"/>
                <w:highlight w:val="none"/>
                <w14:textFill>
                  <w14:solidFill>
                    <w14:schemeClr w14:val="tx1"/>
                  </w14:solidFill>
                </w14:textFill>
              </w:rPr>
              <w:t xml:space="preserve">含</w:t>
            </w:r>
            <w:r>
              <w:rPr>
                <w:rFonts w:ascii="宋体" w:hAnsi="宋体" w:cs="Calibri"/>
                <w:color w:val="000000" w:themeColor="text1"/>
                <w:szCs w:val="21"/>
                <w:highlight w:val="none"/>
                <w14:textFill>
                  <w14:solidFill>
                    <w14:schemeClr w14:val="tx1"/>
                  </w14:solidFill>
                </w14:textFill>
              </w:rPr>
              <w:t xml:space="preserve">240L</w:t>
            </w:r>
            <w:r>
              <w:rPr>
                <w:rFonts w:hint="eastAsia" w:ascii="宋体" w:hAnsi="宋体" w:cs="Calibri"/>
                <w:color w:val="000000" w:themeColor="text1"/>
                <w:szCs w:val="21"/>
                <w:highlight w:val="none"/>
                <w14:textFill>
                  <w14:solidFill>
                    <w14:schemeClr w14:val="tx1"/>
                  </w14:solidFill>
                </w14:textFill>
              </w:rPr>
              <w:t xml:space="preserve">垃圾桶全部换新费用（质量标准需经采购人确认验收</w:t>
            </w:r>
            <w:r/>
          </w:p>
        </w:tc>
      </w:tr>
      <w:tr>
        <w:trPr>
          <w:trHeight w:val="509"/>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10</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管理费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按本项目所需进行测算。</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税费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按国家相关政策</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12</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暂列金</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100000</w:t>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不可竞争费</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13</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其他费用（投标人可自行添加）</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cs="宋体"/>
                <w:color w:val="000000" w:themeColor="text1"/>
                <w:szCs w:val="21"/>
                <w:highlight w:val="none"/>
                <w:lang w:eastAsia="en-US"/>
                <w14:textFill>
                  <w14:solidFill>
                    <w14:schemeClr w14:val="tx1"/>
                  </w14:solidFill>
                </w14:textFill>
              </w:rPr>
            </w:pPr>
            <w:r>
              <w:rPr>
                <w:rFonts w:ascii="宋体" w:cs="宋体"/>
                <w:color w:val="000000" w:themeColor="text1"/>
                <w:szCs w:val="21"/>
                <w:highlight w:val="none"/>
                <w:lang w:eastAsia="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cs="宋体"/>
                <w:color w:val="000000" w:themeColor="text1"/>
                <w:szCs w:val="21"/>
                <w:highlight w:val="none"/>
                <w14:textFill>
                  <w14:solidFill>
                    <w14:schemeClr w14:val="tx1"/>
                  </w14:solidFill>
                </w14:textFill>
              </w:rPr>
            </w:pPr>
            <w:r>
              <w:rPr>
                <w:rFonts w:ascii="宋体" w:cs="宋体"/>
                <w:color w:val="000000" w:themeColor="text1"/>
                <w:szCs w:val="21"/>
                <w:highlight w:val="none"/>
                <w14:textFill>
                  <w14:solidFill>
                    <w14:schemeClr w14:val="tx1"/>
                  </w14:solidFill>
                </w14:textFill>
              </w:rPr>
            </w:r>
            <w:r/>
          </w:p>
        </w:tc>
      </w:tr>
    </w:tbl>
    <w:p>
      <w:pPr>
        <w:jc w:val="cente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r>
      <w:r/>
    </w:p>
    <w:p>
      <w:pPr>
        <w:jc w:val="left"/>
        <w:spacing w:line="360" w:lineRule="auto"/>
        <w:widowControl/>
        <w:rPr>
          <w:rFonts w:ascii="宋体" w:cs="宋体"/>
          <w:b/>
          <w:bCs/>
          <w:i/>
          <w:color w:val="000000" w:themeColor="text1"/>
          <w:szCs w:val="21"/>
          <w:highlight w:val="none"/>
          <w:u w:val="single"/>
          <w14:textFill>
            <w14:solidFill>
              <w14:schemeClr w14:val="tx1"/>
            </w14:solidFill>
          </w14:textFill>
        </w:rPr>
      </w:pPr>
      <w:r>
        <w:rPr>
          <w:rFonts w:ascii="宋体" w:hAnsi="宋体" w:cs="宋体"/>
          <w:i/>
          <w:color w:val="000000" w:themeColor="text1"/>
          <w:szCs w:val="21"/>
          <w:highlight w:val="none"/>
          <w14:textFill>
            <w14:solidFill>
              <w14:schemeClr w14:val="tx1"/>
            </w14:solidFill>
          </w14:textFill>
        </w:rPr>
        <w:t xml:space="preserve">1</w:t>
      </w:r>
      <w:r>
        <w:rPr>
          <w:rFonts w:hint="eastAsia" w:ascii="宋体" w:hAnsi="宋体" w:cs="宋体"/>
          <w:i/>
          <w:color w:val="000000" w:themeColor="text1"/>
          <w:szCs w:val="21"/>
          <w:highlight w:val="none"/>
          <w14:textFill>
            <w14:solidFill>
              <w14:schemeClr w14:val="tx1"/>
            </w14:solidFill>
          </w14:textFill>
        </w:rPr>
        <w:t xml:space="preserve">、</w:t>
      </w:r>
      <w:r>
        <w:rPr>
          <w:rFonts w:hint="eastAsia" w:ascii="宋体" w:hAnsi="宋体" w:cs="宋体"/>
          <w:b/>
          <w:bCs/>
          <w:i/>
          <w:color w:val="000000" w:themeColor="text1"/>
          <w:szCs w:val="21"/>
          <w:highlight w:val="none"/>
          <w:u w:val="single"/>
          <w14:textFill>
            <w14:solidFill>
              <w14:schemeClr w14:val="tx1"/>
            </w14:solidFill>
          </w14:textFill>
        </w:rPr>
        <w:t xml:space="preserve">分项报价表中（除其他费用可自行添加外）列明的项目不可修改，且应当逐项填写。</w:t>
      </w:r>
      <w:r/>
    </w:p>
    <w:p>
      <w:pPr>
        <w:jc w:val="left"/>
        <w:spacing w:line="360" w:lineRule="auto"/>
        <w:widowControl/>
        <w:rPr>
          <w:rFonts w:ascii="宋体" w:cs="宋体"/>
          <w:b/>
          <w:bCs/>
          <w:i/>
          <w:color w:val="000000" w:themeColor="text1"/>
          <w:szCs w:val="21"/>
          <w:highlight w:val="none"/>
          <w:u w:val="single"/>
          <w14:textFill>
            <w14:solidFill>
              <w14:schemeClr w14:val="tx1"/>
            </w14:solidFill>
          </w14:textFill>
        </w:rPr>
      </w:pPr>
      <w:r>
        <w:rPr>
          <w:rFonts w:ascii="宋体" w:hAnsi="宋体" w:cs="宋体"/>
          <w:b/>
          <w:bCs/>
          <w:i/>
          <w:color w:val="000000" w:themeColor="text1"/>
          <w:szCs w:val="21"/>
          <w:highlight w:val="none"/>
          <w14:textFill>
            <w14:solidFill>
              <w14:schemeClr w14:val="tx1"/>
            </w14:solidFill>
          </w14:textFill>
        </w:rPr>
        <w:t xml:space="preserve">2</w:t>
      </w:r>
      <w:r>
        <w:rPr>
          <w:rFonts w:hint="eastAsia" w:ascii="宋体" w:hAnsi="宋体" w:cs="宋体"/>
          <w:b/>
          <w:bCs/>
          <w:i/>
          <w:color w:val="000000" w:themeColor="text1"/>
          <w:szCs w:val="21"/>
          <w:highlight w:val="none"/>
          <w14:textFill>
            <w14:solidFill>
              <w14:schemeClr w14:val="tx1"/>
            </w14:solidFill>
          </w14:textFill>
        </w:rPr>
        <w:t xml:space="preserve">、</w:t>
      </w:r>
      <w:r>
        <w:rPr>
          <w:rFonts w:hint="eastAsia" w:ascii="宋体" w:hAnsi="宋体" w:cs="宋体"/>
          <w:b/>
          <w:bCs/>
          <w:i/>
          <w:color w:val="000000" w:themeColor="text1"/>
          <w:szCs w:val="21"/>
          <w:highlight w:val="none"/>
          <w:u w:val="single"/>
          <w14:textFill>
            <w14:solidFill>
              <w14:schemeClr w14:val="tx1"/>
            </w14:solidFill>
          </w14:textFill>
        </w:rPr>
        <w:t xml:space="preserve">分项报价表中已注明的“数量”这一列的具体数字只可适当增加但不可减少。</w:t>
      </w:r>
      <w:r/>
    </w:p>
    <w:p>
      <w:pPr>
        <w:jc w:val="left"/>
        <w:spacing w:line="360" w:lineRule="auto"/>
        <w:widowControl/>
        <w:rPr>
          <w:rFonts w:ascii="宋体" w:cs="宋体"/>
          <w:b/>
          <w:bCs/>
          <w:i/>
          <w:color w:val="000000" w:themeColor="text1"/>
          <w:szCs w:val="21"/>
          <w:highlight w:val="none"/>
          <w:u w:val="single"/>
          <w14:textFill>
            <w14:solidFill>
              <w14:schemeClr w14:val="tx1"/>
            </w14:solidFill>
          </w14:textFill>
        </w:rPr>
      </w:pPr>
      <w:r>
        <w:rPr>
          <w:rFonts w:ascii="宋体" w:hAnsi="宋体" w:cs="宋体"/>
          <w:b/>
          <w:bCs/>
          <w:i/>
          <w:color w:val="000000" w:themeColor="text1"/>
          <w:szCs w:val="21"/>
          <w:highlight w:val="none"/>
          <w14:textFill>
            <w14:solidFill>
              <w14:schemeClr w14:val="tx1"/>
            </w14:solidFill>
          </w14:textFill>
        </w:rPr>
        <w:t xml:space="preserve">3</w:t>
      </w:r>
      <w:r>
        <w:rPr>
          <w:rFonts w:hint="eastAsia" w:ascii="宋体" w:hAnsi="宋体" w:cs="宋体"/>
          <w:b/>
          <w:bCs/>
          <w:i/>
          <w:color w:val="000000" w:themeColor="text1"/>
          <w:szCs w:val="21"/>
          <w:highlight w:val="none"/>
          <w14:textFill>
            <w14:solidFill>
              <w14:schemeClr w14:val="tx1"/>
            </w14:solidFill>
          </w14:textFill>
        </w:rPr>
        <w:t xml:space="preserve">、</w:t>
      </w:r>
      <w:r>
        <w:rPr>
          <w:rFonts w:hint="eastAsia" w:ascii="宋体" w:hAnsi="宋体" w:cs="宋体"/>
          <w:b/>
          <w:bCs/>
          <w:i/>
          <w:color w:val="000000" w:themeColor="text1"/>
          <w:szCs w:val="21"/>
          <w:highlight w:val="none"/>
          <w:u w:val="single"/>
          <w14:textFill>
            <w14:solidFill>
              <w14:schemeClr w14:val="tx1"/>
            </w14:solidFill>
          </w14:textFill>
        </w:rPr>
        <w:t xml:space="preserve">分项报价表严禁总价让利。</w:t>
      </w:r>
      <w:r/>
    </w:p>
    <w:p>
      <w:pPr>
        <w:jc w:val="left"/>
        <w:spacing w:line="360" w:lineRule="auto"/>
        <w:widowControl/>
        <w:rPr>
          <w:rFonts w:ascii="宋体" w:cs="宋体"/>
          <w:b/>
          <w:bCs/>
          <w:i/>
          <w:color w:val="000000" w:themeColor="text1"/>
          <w:szCs w:val="21"/>
          <w:highlight w:val="none"/>
          <w:u w:val="single"/>
          <w14:textFill>
            <w14:solidFill>
              <w14:schemeClr w14:val="tx1"/>
            </w14:solidFill>
          </w14:textFill>
        </w:rPr>
      </w:pPr>
      <w:r>
        <w:rPr>
          <w:rFonts w:ascii="宋体" w:hAnsi="宋体" w:cs="宋体"/>
          <w:b/>
          <w:bCs/>
          <w:i/>
          <w:color w:val="000000" w:themeColor="text1"/>
          <w:szCs w:val="21"/>
          <w:highlight w:val="none"/>
          <w:u w:val="single"/>
          <w14:textFill>
            <w14:solidFill>
              <w14:schemeClr w14:val="tx1"/>
            </w14:solidFill>
          </w14:textFill>
        </w:rPr>
        <w:t xml:space="preserve">4</w:t>
      </w:r>
      <w:r>
        <w:rPr>
          <w:rFonts w:hint="eastAsia" w:ascii="宋体" w:hAnsi="宋体" w:cs="宋体"/>
          <w:b/>
          <w:bCs/>
          <w:i/>
          <w:color w:val="000000" w:themeColor="text1"/>
          <w:szCs w:val="21"/>
          <w:highlight w:val="none"/>
          <w:u w:val="single"/>
          <w14:textFill>
            <w14:solidFill>
              <w14:schemeClr w14:val="tx1"/>
            </w14:solidFill>
          </w14:textFill>
        </w:rPr>
        <w:t xml:space="preserve">、分项报价表中所列明的项目不接受赠送情形。</w:t>
      </w:r>
      <w:r/>
    </w:p>
    <w:p>
      <w:pPr>
        <w:rPr>
          <w:rFonts w:asci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t xml:space="preserve">5</w:t>
      </w:r>
      <w:r>
        <w:rPr>
          <w:rFonts w:hint="eastAsia" w:ascii="宋体" w:hAnsi="宋体" w:cs="Calibri"/>
          <w:color w:val="000000" w:themeColor="text1"/>
          <w:szCs w:val="21"/>
          <w:highlight w:val="none"/>
          <w14:textFill>
            <w14:solidFill>
              <w14:schemeClr w14:val="tx1"/>
            </w14:solidFill>
          </w14:textFill>
        </w:rPr>
        <w:t xml:space="preserve">、</w:t>
      </w:r>
      <w:r>
        <w:rPr>
          <w:rFonts w:hint="eastAsia" w:ascii="宋体" w:hAnsi="宋体" w:cs="Calibri"/>
          <w:iCs/>
          <w:color w:val="000000" w:themeColor="text1"/>
          <w:szCs w:val="21"/>
          <w:highlight w:val="none"/>
          <w14:textFill>
            <w14:solidFill>
              <w14:schemeClr w14:val="tx1"/>
            </w14:solidFill>
          </w14:textFill>
        </w:rPr>
        <w:t xml:space="preserve">采购人要求依法缴纳社保、医保、住房公积金的人数</w:t>
      </w:r>
      <w:r>
        <w:rPr>
          <w:rFonts w:hint="eastAsia" w:ascii="宋体" w:hAnsi="宋体" w:cs="Calibri"/>
          <w:color w:val="000000" w:themeColor="text1"/>
          <w:szCs w:val="21"/>
          <w:highlight w:val="none"/>
          <w14:textFill>
            <w14:solidFill>
              <w14:schemeClr w14:val="tx1"/>
            </w14:solidFill>
          </w14:textFill>
        </w:rPr>
        <w:t xml:space="preserve">为</w:t>
      </w:r>
      <w:r>
        <w:rPr>
          <w:rFonts w:ascii="宋体" w:hAnsi="宋体" w:cs="Calibri"/>
          <w:color w:val="000000" w:themeColor="text1"/>
          <w:szCs w:val="21"/>
          <w:highlight w:val="none"/>
          <w:u w:val="single"/>
          <w14:textFill>
            <w14:solidFill>
              <w14:schemeClr w14:val="tx1"/>
            </w14:solidFill>
          </w14:textFill>
        </w:rPr>
        <w:t xml:space="preserve">76</w:t>
      </w:r>
      <w:r>
        <w:rPr>
          <w:rFonts w:hint="eastAsia" w:ascii="宋体" w:hAnsi="宋体" w:cs="Calibri"/>
          <w:color w:val="000000" w:themeColor="text1"/>
          <w:szCs w:val="21"/>
          <w:highlight w:val="none"/>
          <w14:textFill>
            <w14:solidFill>
              <w14:schemeClr w14:val="tx1"/>
            </w14:solidFill>
          </w14:textFill>
        </w:rPr>
        <w:t xml:space="preserve">人，如投标人享受社保、医保、住房公积金优惠政策或符合相关政策法规，请提供相应证明材料，并承诺材料真实有效，以便采购人、监管部门履约期间核查。若发现投标人在多个项目重复享受优惠政策的，将自行承担相应责任。</w:t>
      </w:r>
      <w:r/>
    </w:p>
    <w:p>
      <w:pPr>
        <w:jc w:val="cente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r>
      <w:r/>
    </w:p>
    <w:p>
      <w:pPr>
        <w:rPr>
          <w:rFonts w:ascii="宋体" w:cs="宋体"/>
          <w:color w:val="000000" w:themeColor="text1"/>
          <w:sz w:val="32"/>
          <w:highlight w:val="none"/>
          <w14:textFill>
            <w14:solidFill>
              <w14:schemeClr w14:val="tx1"/>
            </w14:solidFill>
          </w14:textFill>
        </w:rPr>
      </w:pPr>
      <w:r>
        <w:rPr>
          <w:rFonts w:ascii="宋体" w:cs="宋体"/>
          <w:color w:val="000000" w:themeColor="text1"/>
          <w:sz w:val="32"/>
          <w:highlight w:val="none"/>
          <w14:textFill>
            <w14:solidFill>
              <w14:schemeClr w14:val="tx1"/>
            </w14:solidFill>
          </w14:textFill>
        </w:rPr>
        <w:br w:type="page" w:clear="all"/>
      </w:r>
      <w:r/>
    </w:p>
    <w:p>
      <w:pPr>
        <w:jc w:val="center"/>
        <w:rPr>
          <w:color w:val="000000" w:themeColor="text1"/>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拟投入人员一览表</w:t>
      </w:r>
      <w:r/>
    </w:p>
    <w:p>
      <w:pPr>
        <w:spacing w:before="240" w:after="240"/>
        <w:rPr>
          <w:color w:val="000000" w:themeColor="text1"/>
          <w:highlight w:val="none"/>
          <w14:textFill>
            <w14:solidFill>
              <w14:schemeClr w14:val="tx1"/>
            </w14:solidFill>
          </w14:textFill>
        </w:rPr>
      </w:pPr>
      <w:r>
        <w:rPr>
          <w:rFonts w:ascii="Calibri" w:hAnsi="Calibri" w:cs="Calibri"/>
          <w:color w:val="000000" w:themeColor="text1"/>
          <w:sz w:val="22"/>
          <w:highlight w:val="none"/>
          <w14:textFill>
            <w14:solidFill>
              <w14:schemeClr w14:val="tx1"/>
            </w14:solidFill>
          </w14:textFill>
        </w:rPr>
        <w:t xml:space="preserve"> </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263"/>
        <w:gridCol w:w="802"/>
        <w:gridCol w:w="802"/>
        <w:gridCol w:w="890"/>
        <w:gridCol w:w="890"/>
        <w:gridCol w:w="1030"/>
        <w:gridCol w:w="1053"/>
        <w:gridCol w:w="1053"/>
      </w:tblGrid>
      <w:tr>
        <w:trPr>
          <w:trHeight w:val="10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jc w:val="center"/>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jc w:val="center"/>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jc w:val="center"/>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jc w:val="center"/>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jc w:val="center"/>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jc w:val="center"/>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jc w:val="center"/>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从业资格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jc w:val="center"/>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是否退休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jc w:val="center"/>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备注</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spacing w:line="85" w:lineRule="atLeast"/>
              <w:rPr>
                <w:color w:val="000000" w:themeColor="text1"/>
                <w:highlight w:val="none"/>
                <w14:textFill>
                  <w14:solidFill>
                    <w14:schemeClr w14:val="tx1"/>
                  </w14:solidFill>
                </w14:textFill>
              </w:rPr>
            </w:pPr>
            <w:r>
              <w:rPr>
                <w:rFonts w:ascii="宋体" w:cs="宋体"/>
                <w:color w:val="000000" w:themeColor="text1"/>
                <w:sz w:val="22"/>
                <w:highlight w:val="none"/>
                <w14:textFill>
                  <w14:solidFill>
                    <w14:schemeClr w14:val="tx1"/>
                  </w14:solidFill>
                </w14:textFill>
              </w:rPr>
              <w:t xml:space="preserve"> </w:t>
            </w:r>
            <w:r/>
          </w:p>
        </w:tc>
      </w:tr>
    </w:tbl>
    <w:p>
      <w:pPr>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xml:space="preserve"> </w:t>
      </w:r>
      <w:r/>
    </w:p>
    <w:p>
      <w:pPr>
        <w:jc w:val="cente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r>
      <w:r/>
    </w:p>
    <w:p>
      <w:pPr>
        <w:jc w:val="cente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r>
      <w:r/>
    </w:p>
    <w:p>
      <w:pPr>
        <w:jc w:val="center"/>
        <w:rPr>
          <w:rFonts w:ascii="宋体"/>
          <w:b/>
          <w:color w:val="000000" w:themeColor="text1"/>
          <w:sz w:val="32"/>
          <w:szCs w:val="32"/>
          <w:highlight w:val="none"/>
          <w14:textFill>
            <w14:solidFill>
              <w14:schemeClr w14:val="tx1"/>
            </w14:solidFill>
          </w14:textFill>
        </w:rPr>
      </w:pPr>
      <w:r>
        <w:rPr>
          <w:rFonts w:asci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六、技术参数响应及偏离表</w:t>
      </w:r>
      <w:r/>
    </w:p>
    <w:tbl>
      <w:tblPr>
        <w:tblStyle w:val="8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2852"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招标要求</w:t>
            </w:r>
            <w:r/>
          </w:p>
        </w:tc>
        <w:tc>
          <w:tcPr>
            <w:tcW w:w="2852"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投标响应</w:t>
            </w:r>
            <w:r/>
          </w:p>
        </w:tc>
        <w:tc>
          <w:tcPr>
            <w:tcW w:w="1308"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超出、符合或偏离</w:t>
            </w:r>
            <w:r/>
          </w:p>
        </w:tc>
        <w:tc>
          <w:tcPr>
            <w:tcW w:w="1173" w:type="dxa"/>
            <w:vAlign w:val="center"/>
            <w:textDirection w:val="lrTb"/>
            <w:noWrap w:val="false"/>
          </w:tcPr>
          <w:p>
            <w:pPr>
              <w:jc w:val="center"/>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证明材料</w:t>
            </w:r>
            <w:r/>
          </w:p>
        </w:tc>
      </w:tr>
      <w:tr>
        <w:trPr>
          <w:cantSplit/>
          <w:trHeight w:val="640"/>
        </w:trPr>
        <w:tc>
          <w:tcPr>
            <w:tcW w:w="984"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tc>
      </w:tr>
    </w:tbl>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、按照基本技术要求详细填列。</w:t>
      </w:r>
      <w:r/>
    </w:p>
    <w:p>
      <w:pPr>
        <w:ind w:firstLine="480"/>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、行数不够，可自行添加。</w:t>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br w:type="page" w:clear="all"/>
      </w:r>
      <w:r/>
    </w:p>
    <w:p>
      <w:pPr>
        <w:jc w:val="center"/>
        <w:rPr>
          <w:rFonts w:ascii="宋体"/>
          <w:b/>
          <w:color w:val="000000" w:themeColor="text1"/>
          <w:sz w:val="32"/>
          <w:szCs w:val="32"/>
          <w:highlight w:val="none"/>
          <w14:textFill>
            <w14:solidFill>
              <w14:schemeClr w14:val="tx1"/>
            </w14:solidFill>
          </w14:textFill>
        </w:rPr>
      </w:pPr>
      <w:r/>
      <w:bookmarkStart w:id="51" w:name="_Hlt26955054"/>
      <w:r/>
      <w:bookmarkEnd w:id="51"/>
      <w:r>
        <w:rPr>
          <w:rFonts w:hint="eastAsia" w:ascii="宋体" w:hAnsi="宋体"/>
          <w:b/>
          <w:color w:val="000000" w:themeColor="text1"/>
          <w:sz w:val="32"/>
          <w:szCs w:val="32"/>
          <w:highlight w:val="none"/>
          <w14:textFill>
            <w14:solidFill>
              <w14:schemeClr w14:val="tx1"/>
            </w14:solidFill>
          </w14:textFill>
        </w:rPr>
        <w:t xml:space="preserve">七、商务条款响应及偏离表</w:t>
      </w:r>
      <w:r/>
    </w:p>
    <w:tbl>
      <w:tblPr>
        <w:tblStyle w:val="819"/>
        <w:tblW w:w="8387"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384"/>
      </w:tblGrid>
      <w:tr>
        <w:trPr>
          <w:trHeight w:val="704"/>
        </w:trPr>
        <w:tc>
          <w:tcPr>
            <w:tcBorders>
              <w:top w:val="single" w:color="000000" w:sz="4" w:space="0"/>
            </w:tcBorders>
            <w:tcW w:w="1645"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bookmarkStart w:id="52" w:name="_Hlt26671372"/>
            <w:r/>
            <w:bookmarkEnd w:id="52"/>
            <w:r/>
            <w:bookmarkStart w:id="53" w:name="_Hlt26955056"/>
            <w:r/>
            <w:bookmarkEnd w:id="53"/>
            <w:r/>
            <w:bookmarkStart w:id="54" w:name="_Hlt26782999"/>
            <w:r/>
            <w:bookmarkEnd w:id="54"/>
            <w:r/>
            <w:bookmarkStart w:id="55" w:name="_Hlt24879081"/>
            <w:r/>
            <w:bookmarkEnd w:id="55"/>
            <w:r/>
            <w:bookmarkStart w:id="56" w:name="_Hlt26955064"/>
            <w:r/>
            <w:bookmarkEnd w:id="56"/>
            <w:r/>
            <w:bookmarkStart w:id="57" w:name="_Hlt26609391"/>
            <w:r/>
            <w:bookmarkEnd w:id="57"/>
            <w:r/>
            <w:bookmarkStart w:id="58" w:name="_Hlt26671343"/>
            <w:r/>
            <w:bookmarkEnd w:id="58"/>
            <w:r/>
            <w:bookmarkStart w:id="59" w:name="_Hlt26580838"/>
            <w:r/>
            <w:bookmarkEnd w:id="59"/>
            <w:r>
              <w:rPr>
                <w:rFonts w:hint="eastAsia" w:ascii="??_GB2312" w:hAnsi="宋体"/>
                <w:color w:val="000000" w:themeColor="text1"/>
                <w:szCs w:val="21"/>
                <w:highlight w:val="none"/>
                <w14:textFill>
                  <w14:solidFill>
                    <w14:schemeClr w14:val="tx1"/>
                  </w14:solidFill>
                </w14:textFill>
              </w:rPr>
              <w:t xml:space="preserve">项目</w:t>
            </w:r>
            <w:r/>
          </w:p>
        </w:tc>
        <w:tc>
          <w:tcPr>
            <w:tcBorders>
              <w:top w:val="single" w:color="000000" w:sz="4" w:space="0"/>
            </w:tcBorders>
            <w:tcW w:w="2513"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hint="eastAsia" w:ascii="??_GB2312" w:hAnsi="宋体"/>
                <w:color w:val="000000" w:themeColor="text1"/>
                <w:szCs w:val="21"/>
                <w:highlight w:val="none"/>
                <w14:textFill>
                  <w14:solidFill>
                    <w14:schemeClr w14:val="tx1"/>
                  </w14:solidFill>
                </w14:textFill>
              </w:rPr>
              <w:t xml:space="preserve">采购文件要求</w:t>
            </w:r>
            <w:r/>
          </w:p>
        </w:tc>
        <w:tc>
          <w:tcPr>
            <w:tcBorders>
              <w:top w:val="single" w:color="000000" w:sz="4" w:space="0"/>
            </w:tcBorders>
            <w:tcW w:w="1845"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hint="eastAsia" w:ascii="??_GB2312" w:hAnsi="宋体"/>
                <w:color w:val="000000" w:themeColor="text1"/>
                <w:szCs w:val="21"/>
                <w:highlight w:val="none"/>
                <w14:textFill>
                  <w14:solidFill>
                    <w14:schemeClr w14:val="tx1"/>
                  </w14:solidFill>
                </w14:textFill>
              </w:rPr>
              <w:t xml:space="preserve">是否响应</w:t>
            </w:r>
            <w:r/>
          </w:p>
        </w:tc>
        <w:tc>
          <w:tcPr>
            <w:tcBorders>
              <w:top w:val="single" w:color="000000" w:sz="4" w:space="0"/>
            </w:tcBorders>
            <w:tcW w:w="2384"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hint="eastAsia" w:ascii="??_GB2312" w:hAnsi="宋体"/>
                <w:color w:val="000000" w:themeColor="text1"/>
                <w:szCs w:val="21"/>
                <w:highlight w:val="none"/>
                <w14:textFill>
                  <w14:solidFill>
                    <w14:schemeClr w14:val="tx1"/>
                  </w14:solidFill>
                </w14:textFill>
              </w:rPr>
              <w:t xml:space="preserve">供应商的承诺或说明</w:t>
            </w:r>
            <w:r/>
          </w:p>
        </w:tc>
      </w:tr>
      <w:tr>
        <w:trPr>
          <w:trHeight w:val="593"/>
        </w:trPr>
        <w:tc>
          <w:tcPr>
            <w:tcW w:w="1645" w:type="dxa"/>
            <w:textDirection w:val="lrTb"/>
            <w:noWrap w:val="false"/>
          </w:tcPr>
          <w:p>
            <w:pPr>
              <w:jc w:val="center"/>
              <w:spacing w:before="162"/>
              <w:rPr>
                <w:rFonts w:ascii="??_GB2312" w:hAnsi="宋体" w:eastAsia="Times New Roman"/>
                <w:color w:val="000000" w:themeColor="text1"/>
                <w:highlight w:val="none"/>
                <w14:textFill>
                  <w14:solidFill>
                    <w14:schemeClr w14:val="tx1"/>
                  </w14:solidFill>
                </w14:textFill>
              </w:rPr>
            </w:pPr>
            <w:r>
              <w:rPr>
                <w:rFonts w:hint="eastAsia" w:ascii="??_GB2312"/>
                <w:color w:val="000000" w:themeColor="text1"/>
                <w:highlight w:val="none"/>
                <w14:textFill>
                  <w14:solidFill>
                    <w14:schemeClr w14:val="tx1"/>
                  </w14:solidFill>
                </w14:textFill>
              </w:rPr>
              <w:t xml:space="preserve">服务期</w:t>
            </w:r>
            <w:r/>
          </w:p>
        </w:tc>
        <w:tc>
          <w:tcPr>
            <w:tcW w:w="2513"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c>
          <w:tcPr>
            <w:tcW w:w="1845" w:type="dxa"/>
            <w:textDirection w:val="lrTb"/>
            <w:noWrap w:val="false"/>
          </w:tcPr>
          <w:p>
            <w:pPr>
              <w:ind w:left="43"/>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c>
          <w:tcPr>
            <w:tcW w:w="2384" w:type="dxa"/>
            <w:textDirection w:val="lrTb"/>
            <w:noWrap w:val="false"/>
          </w:tcPr>
          <w:p>
            <w:pPr>
              <w:ind w:left="43"/>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r>
      <w:tr>
        <w:trPr>
          <w:trHeight w:val="485"/>
        </w:trPr>
        <w:tc>
          <w:tcPr>
            <w:tcW w:w="1645" w:type="dxa"/>
            <w:textDirection w:val="lrTb"/>
            <w:noWrap w:val="false"/>
          </w:tcPr>
          <w:p>
            <w:pPr>
              <w:jc w:val="center"/>
              <w:spacing w:before="162"/>
              <w:rPr>
                <w:rFonts w:ascii="??_GB2312" w:hAnsi="宋体" w:eastAsia="Times New Roman"/>
                <w:color w:val="000000" w:themeColor="text1"/>
                <w:highlight w:val="none"/>
                <w14:textFill>
                  <w14:solidFill>
                    <w14:schemeClr w14:val="tx1"/>
                  </w14:solidFill>
                </w14:textFill>
              </w:rPr>
            </w:pPr>
            <w:r>
              <w:rPr>
                <w:rFonts w:hint="eastAsia" w:ascii="??_GB2312"/>
                <w:color w:val="000000" w:themeColor="text1"/>
                <w:highlight w:val="none"/>
                <w14:textFill>
                  <w14:solidFill>
                    <w14:schemeClr w14:val="tx1"/>
                  </w14:solidFill>
                </w14:textFill>
              </w:rPr>
              <w:t xml:space="preserve">服务要求</w:t>
            </w:r>
            <w:r/>
          </w:p>
        </w:tc>
        <w:tc>
          <w:tcPr>
            <w:tcW w:w="2513" w:type="dxa"/>
            <w:textDirection w:val="lrTb"/>
            <w:noWrap w:val="false"/>
          </w:tcPr>
          <w:p>
            <w:pPr>
              <w:spacing w:before="156" w:line="360" w:lineRule="auto"/>
              <w:rPr>
                <w:rFonts w:ascii="??_GB2312" w:hAnsi="宋体"/>
                <w:color w:val="000000" w:themeColor="text1"/>
                <w:szCs w:val="21"/>
                <w:highlight w:val="none"/>
                <w14:textFill>
                  <w14:solidFill>
                    <w14:schemeClr w14:val="tx1"/>
                  </w14:solidFill>
                </w14:textFill>
              </w:rPr>
            </w:pPr>
            <w:r>
              <w:rPr>
                <w:rFonts w:ascii="??_GB2312" w:hAnsi="宋体"/>
                <w:color w:val="000000" w:themeColor="text1"/>
                <w:szCs w:val="21"/>
                <w:highlight w:val="none"/>
                <w14:textFill>
                  <w14:solidFill>
                    <w14:schemeClr w14:val="tx1"/>
                  </w14:solidFill>
                </w14:textFill>
              </w:rPr>
            </w:r>
            <w:r/>
          </w:p>
        </w:tc>
        <w:tc>
          <w:tcPr>
            <w:tcW w:w="1845" w:type="dxa"/>
            <w:textDirection w:val="lrTb"/>
            <w:noWrap w:val="false"/>
          </w:tcPr>
          <w:p>
            <w:pPr>
              <w:ind w:left="43"/>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c>
          <w:tcPr>
            <w:tcW w:w="2384" w:type="dxa"/>
            <w:textDirection w:val="lrTb"/>
            <w:noWrap w:val="false"/>
          </w:tcPr>
          <w:p>
            <w:pPr>
              <w:ind w:left="43"/>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r>
      <w:tr>
        <w:trPr>
          <w:trHeight w:val="507"/>
        </w:trPr>
        <w:tc>
          <w:tcPr>
            <w:tcW w:w="1645" w:type="dxa"/>
            <w:textDirection w:val="lrTb"/>
            <w:noWrap w:val="false"/>
          </w:tcPr>
          <w:p>
            <w:pPr>
              <w:jc w:val="center"/>
              <w:spacing w:before="162"/>
              <w:rPr>
                <w:rFonts w:ascii="??_GB2312" w:hAnsi="宋体" w:eastAsia="Times New Roman"/>
                <w:color w:val="000000" w:themeColor="text1"/>
                <w:highlight w:val="none"/>
                <w14:textFill>
                  <w14:solidFill>
                    <w14:schemeClr w14:val="tx1"/>
                  </w14:solidFill>
                </w14:textFill>
              </w:rPr>
            </w:pPr>
            <w:r>
              <w:rPr>
                <w:rFonts w:hint="eastAsia" w:ascii="??_GB2312" w:hAnsi="宋体"/>
                <w:color w:val="000000" w:themeColor="text1"/>
                <w:highlight w:val="none"/>
                <w14:textFill>
                  <w14:solidFill>
                    <w14:schemeClr w14:val="tx1"/>
                  </w14:solidFill>
                </w14:textFill>
              </w:rPr>
              <w:t xml:space="preserve">付款方式</w:t>
            </w:r>
            <w:r/>
          </w:p>
        </w:tc>
        <w:tc>
          <w:tcPr>
            <w:tcW w:w="2513" w:type="dxa"/>
            <w:textDirection w:val="lrTb"/>
            <w:noWrap w:val="false"/>
          </w:tcPr>
          <w:p>
            <w:pPr>
              <w:spacing w:before="156" w:line="360" w:lineRule="auto"/>
              <w:rPr>
                <w:rFonts w:ascii="??_GB2312" w:hAnsi="宋体"/>
                <w:color w:val="000000" w:themeColor="text1"/>
                <w:szCs w:val="21"/>
                <w:highlight w:val="none"/>
                <w14:textFill>
                  <w14:solidFill>
                    <w14:schemeClr w14:val="tx1"/>
                  </w14:solidFill>
                </w14:textFill>
              </w:rPr>
            </w:pPr>
            <w:r>
              <w:rPr>
                <w:rFonts w:ascii="??_GB2312" w:hAnsi="宋体"/>
                <w:color w:val="000000" w:themeColor="text1"/>
                <w:szCs w:val="21"/>
                <w:highlight w:val="none"/>
                <w14:textFill>
                  <w14:solidFill>
                    <w14:schemeClr w14:val="tx1"/>
                  </w14:solidFill>
                </w14:textFill>
              </w:rPr>
            </w:r>
            <w:r/>
          </w:p>
        </w:tc>
        <w:tc>
          <w:tcPr>
            <w:tcW w:w="1845" w:type="dxa"/>
            <w:textDirection w:val="lrTb"/>
            <w:noWrap w:val="false"/>
          </w:tcPr>
          <w:p>
            <w:pPr>
              <w:ind w:left="43"/>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c>
          <w:tcPr>
            <w:tcW w:w="2384" w:type="dxa"/>
            <w:textDirection w:val="lrTb"/>
            <w:noWrap w:val="false"/>
          </w:tcPr>
          <w:p>
            <w:pPr>
              <w:ind w:left="43"/>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r>
      <w:tr>
        <w:trPr>
          <w:trHeight w:val="472"/>
        </w:trPr>
        <w:tc>
          <w:tcPr>
            <w:tcW w:w="1645"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c>
          <w:tcPr>
            <w:tcW w:w="2513" w:type="dxa"/>
            <w:textDirection w:val="lrTb"/>
            <w:noWrap w:val="false"/>
          </w:tcPr>
          <w:p>
            <w:pP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c>
          <w:tcPr>
            <w:tcW w:w="1845"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c>
          <w:tcPr>
            <w:tcW w:w="2384"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r>
      <w:tr>
        <w:trPr>
          <w:trHeight w:val="483"/>
        </w:trPr>
        <w:tc>
          <w:tcPr>
            <w:tcBorders>
              <w:bottom w:val="single" w:color="000000" w:sz="4" w:space="0"/>
            </w:tcBorders>
            <w:tcW w:w="1645"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hint="eastAsia" w:ascii="??_GB2312" w:hAnsi="宋体"/>
                <w:color w:val="000000" w:themeColor="text1"/>
                <w:szCs w:val="21"/>
                <w:highlight w:val="none"/>
                <w14:textFill>
                  <w14:solidFill>
                    <w14:schemeClr w14:val="tx1"/>
                  </w14:solidFill>
                </w14:textFill>
              </w:rPr>
              <w:t xml:space="preserve">其他</w:t>
            </w:r>
            <w:r/>
          </w:p>
        </w:tc>
        <w:tc>
          <w:tcPr>
            <w:tcBorders>
              <w:bottom w:val="single" w:color="000000" w:sz="4" w:space="0"/>
            </w:tcBorders>
            <w:tcW w:w="2513"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t xml:space="preserve">……</w:t>
            </w:r>
            <w:r/>
          </w:p>
        </w:tc>
        <w:tc>
          <w:tcPr>
            <w:tcBorders>
              <w:bottom w:val="single" w:color="000000" w:sz="4" w:space="0"/>
            </w:tcBorders>
            <w:tcW w:w="1845"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c>
          <w:tcPr>
            <w:tcBorders>
              <w:bottom w:val="single" w:color="000000" w:sz="4" w:space="0"/>
            </w:tcBorders>
            <w:tcW w:w="2384" w:type="dxa"/>
            <w:textDirection w:val="lrTb"/>
            <w:noWrap w:val="false"/>
          </w:tcPr>
          <w:p>
            <w:pPr>
              <w:jc w:val="center"/>
              <w:spacing w:before="156" w:line="360" w:lineRule="auto"/>
              <w:rPr>
                <w:rFonts w:ascii="??_GB2312" w:hAnsi="宋体" w:eastAsia="Times New Roman"/>
                <w:color w:val="000000" w:themeColor="text1"/>
                <w:szCs w:val="21"/>
                <w:highlight w:val="none"/>
                <w14:textFill>
                  <w14:solidFill>
                    <w14:schemeClr w14:val="tx1"/>
                  </w14:solidFill>
                </w14:textFill>
              </w:rPr>
            </w:pPr>
            <w:r>
              <w:rPr>
                <w:rFonts w:ascii="??_GB2312" w:hAnsi="宋体" w:eastAsia="Times New Roman"/>
                <w:color w:val="000000" w:themeColor="text1"/>
                <w:szCs w:val="21"/>
                <w:highlight w:val="none"/>
                <w14:textFill>
                  <w14:solidFill>
                    <w14:schemeClr w14:val="tx1"/>
                  </w14:solidFill>
                </w14:textFill>
              </w:rPr>
            </w:r>
            <w:r/>
          </w:p>
        </w:tc>
      </w:tr>
    </w:tbl>
    <w:p>
      <w:pPr>
        <w:spacing w:line="480" w:lineRule="auto"/>
        <w:rPr>
          <w:rFonts w:ascii="??_GB2312" w:hAnsi="Arial"/>
          <w:color w:val="000000" w:themeColor="text1"/>
          <w:sz w:val="30"/>
          <w:highlight w:val="none"/>
          <w14:textFill>
            <w14:solidFill>
              <w14:schemeClr w14:val="tx1"/>
            </w14:solidFill>
          </w14:textFill>
        </w:rPr>
      </w:pPr>
      <w:r>
        <w:rPr>
          <w:rFonts w:ascii="??_GB2312" w:hAnsi="Arial"/>
          <w:color w:val="000000" w:themeColor="text1"/>
          <w:sz w:val="30"/>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bookmarkStart w:id="60" w:name="_Hlt26609389"/>
      <w:r/>
      <w:bookmarkEnd w:id="60"/>
      <w:r/>
      <w:bookmarkStart w:id="61" w:name="_Hlt26671374"/>
      <w:r/>
      <w:bookmarkEnd w:id="61"/>
      <w:r/>
      <w:bookmarkStart w:id="62" w:name="_Hlt26955066"/>
      <w:r/>
      <w:bookmarkEnd w:id="62"/>
      <w:r/>
      <w:bookmarkStart w:id="63" w:name="_Toc462564146"/>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t xml:space="preserve">.</w:t>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bookmarkEnd w:id="63"/>
      <w:r/>
      <w:r/>
    </w:p>
    <w:p>
      <w:pPr>
        <w:pStyle w:val="1046"/>
        <w:ind w:firstLine="480"/>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jc w:val="left"/>
        <w:widowControl/>
        <w:rPr>
          <w:rFonts w:ascii="宋体"/>
          <w:b/>
          <w:color w:val="000000" w:themeColor="text1"/>
          <w:highlight w:val="none"/>
          <w14:textFill>
            <w14:solidFill>
              <w14:schemeClr w14:val="tx1"/>
            </w14:solidFill>
          </w14:textFill>
        </w:rPr>
      </w:pPr>
      <w:r/>
      <w:bookmarkStart w:id="64" w:name="_格式2__法定代表人授权书"/>
      <w:r/>
      <w:bookmarkEnd w:id="64"/>
      <w:r>
        <w:rPr>
          <w:rFonts w:ascii="宋体"/>
          <w:b/>
          <w:color w:val="000000" w:themeColor="text1"/>
          <w:highlight w:val="none"/>
          <w14:textFill>
            <w14:solidFill>
              <w14:schemeClr w14:val="tx1"/>
            </w14:solidFill>
          </w14:textFill>
        </w:rPr>
        <w:br w:type="page" w:clear="all"/>
      </w:r>
      <w:r/>
    </w:p>
    <w:p>
      <w:pPr>
        <w:jc w:val="center"/>
        <w:spacing w:before="312" w:line="360" w:lineRule="auto"/>
        <w:rPr>
          <w:rFonts w:asci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主要标的信息（中标后将公示）</w:t>
      </w:r>
      <w:r/>
    </w:p>
    <w:p>
      <w:pPr>
        <w:spacing w:after="312" w:line="360" w:lineRule="auto"/>
        <w:rPr>
          <w:rFonts w:asci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投标人全称：</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7"/>
      </w:tblGrid>
      <w:tr>
        <w:trPr>
          <w:jc w:val="center"/>
        </w:trPr>
        <w:tc>
          <w:tcPr>
            <w:tcW w:w="7517" w:type="dxa"/>
            <w:textDirection w:val="lrTb"/>
            <w:noWrap w:val="false"/>
          </w:tcPr>
          <w:p>
            <w:pPr>
              <w:jc w:val="center"/>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服务类</w:t>
            </w:r>
            <w:r/>
          </w:p>
        </w:tc>
      </w:tr>
      <w:tr>
        <w:trPr>
          <w:jc w:val="center"/>
          <w:trHeight w:val="3810"/>
        </w:trPr>
        <w:tc>
          <w:tcPr>
            <w:tcW w:w="7517" w:type="dxa"/>
            <w:textDirection w:val="lrTb"/>
            <w:noWrap w:val="false"/>
          </w:tcPr>
          <w:p>
            <w:pPr>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p>
            <w:pPr>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服务范围：</w:t>
            </w:r>
            <w:r/>
          </w:p>
          <w:p>
            <w:pPr>
              <w:spacing w:line="360" w:lineRule="auto"/>
              <w:rPr>
                <w:rFonts w:asci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服务要求：</w:t>
            </w:r>
            <w:r/>
          </w:p>
          <w:p>
            <w:pPr>
              <w:spacing w:line="360" w:lineRule="auto"/>
              <w:rPr>
                <w:rFonts w:asci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服务时间：</w:t>
            </w:r>
            <w:r/>
          </w:p>
          <w:p>
            <w:pPr>
              <w:spacing w:line="360" w:lineRule="auto"/>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服务标准：</w:t>
            </w:r>
            <w:r/>
          </w:p>
        </w:tc>
      </w:tr>
    </w:tbl>
    <w:p>
      <w:pPr>
        <w:jc w:val="left"/>
        <w:widowControl/>
        <w:rPr>
          <w:rFonts w:ascii="宋体" w:cs="宋体"/>
          <w:color w:val="000000" w:themeColor="text1"/>
          <w:sz w:val="24"/>
          <w:szCs w:val="24"/>
          <w:highlight w:val="none"/>
          <w14:textFill>
            <w14:solidFill>
              <w14:schemeClr w14:val="tx1"/>
            </w14:solidFill>
          </w14:textFill>
        </w:rPr>
      </w:pPr>
      <w:r>
        <w:rPr>
          <w:rFonts w:ascii="宋体" w:cs="宋体"/>
          <w:color w:val="000000" w:themeColor="text1"/>
          <w:sz w:val="24"/>
          <w:szCs w:val="24"/>
          <w:highlight w:val="none"/>
          <w14:textFill>
            <w14:solidFill>
              <w14:schemeClr w14:val="tx1"/>
            </w14:solidFill>
          </w14:textFill>
        </w:rPr>
        <w:br w:type="page" w:clear="all"/>
      </w:r>
      <w:r/>
    </w:p>
    <w:p>
      <w:pPr>
        <w:ind w:firstLine="211"/>
        <w:jc w:val="center"/>
        <w:spacing w:line="360" w:lineRule="auto"/>
        <w:rPr>
          <w:rFonts w:asci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联合体协议（如有）</w:t>
      </w:r>
      <w:r/>
    </w:p>
    <w:p>
      <w:pPr>
        <w:ind w:firstLine="211"/>
        <w:jc w:val="center"/>
        <w:spacing w:line="360" w:lineRule="auto"/>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spacing w:line="360" w:lineRule="auto"/>
        <w:rPr>
          <w:rFonts w:asci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（联合体中各供应商全称）在此达成以下协议：</w:t>
      </w:r>
      <w:r/>
    </w:p>
    <w:p>
      <w:pPr>
        <w:ind w:firstLine="645"/>
        <w:spacing w:line="360" w:lineRule="auto"/>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、我们自愿组成联合体，参加苏合邦筑工程咨询集团股份有限公司组织的采购编号为（项目编号）（项目全称）的政府采购活动。</w:t>
      </w:r>
      <w:r/>
    </w:p>
    <w:p>
      <w:pPr>
        <w:ind w:firstLine="645"/>
        <w:spacing w:line="360" w:lineRule="auto"/>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、若我们联合中标、成交，（供应商单位</w:t>
      </w:r>
      <w:r>
        <w:rPr>
          <w:rFonts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全称）实施项目中（工作内容）部分工作，并承担相应的责任。（供应商单位</w:t>
      </w: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全称）实施项目中（工作内容）部分工作，并承担相应的责任……。（注：联合体中各供应商都应明示所承担的工作和相应的责任）。</w:t>
      </w:r>
      <w:r/>
    </w:p>
    <w:p>
      <w:pPr>
        <w:ind w:firstLine="645"/>
        <w:spacing w:line="360" w:lineRule="auto"/>
        <w:rPr>
          <w:rFonts w:ascii="宋体"/>
          <w:color w:val="000000" w:themeColor="text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p>
    <w:p>
      <w:pPr>
        <w:ind w:firstLine="4620"/>
        <w:spacing w:line="360" w:lineRule="auto"/>
        <w:rPr>
          <w:rFonts w:asci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所有供应商全称：</w:t>
      </w:r>
      <w:r/>
    </w:p>
    <w:p>
      <w:pPr>
        <w:ind w:firstLine="645"/>
        <w:spacing w:line="360" w:lineRule="auto"/>
        <w:rPr>
          <w:rFonts w:asci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法定代表人：</w:t>
      </w:r>
      <w:r>
        <w:rPr>
          <w:rFonts w:ascii="宋体" w:hAnsi="宋体"/>
          <w:color w:val="000000" w:themeColor="text1"/>
          <w:highlight w:val="none"/>
          <w14:textFill>
            <w14:solidFill>
              <w14:schemeClr w14:val="tx1"/>
            </w14:solidFill>
          </w14:textFill>
        </w:rPr>
        <w:t xml:space="preserve">  </w:t>
      </w:r>
      <w:r/>
    </w:p>
    <w:p>
      <w:pPr>
        <w:ind w:firstLine="4620"/>
        <w:spacing w:line="360" w:lineRule="auto"/>
        <w:rPr>
          <w:rFonts w:asci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before="100" w:beforeAutospacing="1" w:after="143"/>
        <w:widowControl/>
        <w:rPr>
          <w:rFonts w:ascii="宋体" w:cs="宋体"/>
          <w:color w:val="000000" w:themeColor="text1"/>
          <w:sz w:val="24"/>
          <w:szCs w:val="24"/>
          <w:highlight w:val="none"/>
          <w14:textFill>
            <w14:solidFill>
              <w14:schemeClr w14:val="tx1"/>
            </w14:solidFill>
          </w14:textFill>
        </w:rPr>
      </w:pPr>
      <w:r>
        <w:rPr>
          <w:rFonts w:ascii="宋体" w:cs="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GBK">
    <w:panose1 w:val="020B0503020202020204"/>
  </w:font>
  <w:font w:name="MS Gothic">
    <w:panose1 w:val="020B0609070205080204"/>
  </w:font>
  <w:font w:name="Symbol">
    <w:panose1 w:val="05050102010706020507"/>
  </w:font>
  <w:font w:name="Wingdings">
    <w:panose1 w:val="05000000000000000000"/>
  </w:font>
  <w:font w:name="等线">
    <w:panose1 w:val="02010600030101010101"/>
  </w:font>
  <w:font w:name="仿宋">
    <w:panose1 w:val="02010609060101010101"/>
  </w:font>
  <w:font w:name="Cambria">
    <w:panose1 w:val="02040503050406030204"/>
  </w:font>
  <w:font w:name="幼圆">
    <w:panose1 w:val="02010509060101010101"/>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572"/>
      <w:spacing w:line="176"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9"/>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572"/>
      <w:spacing w:line="176"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9"/>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55"/>
                            <w:jc w:val="center"/>
                          </w:pPr>
                          <w:r>
                            <w:fldChar w:fldCharType="begin"/>
                          </w:r>
                          <w:r>
                            <w:instrText xml:space="preserve">PAGE   \* MERGEFORMAT</w:instrText>
                          </w:r>
                          <w:r>
                            <w:fldChar w:fldCharType="separate"/>
                          </w:r>
                          <w:r>
                            <w:rPr>
                              <w:lang w:val="zh-CN"/>
                            </w:rPr>
                            <w:t xml:space="preserve">54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jc w:val="center"/>
                    </w:pPr>
                    <w:r>
                      <w:fldChar w:fldCharType="begin"/>
                    </w:r>
                    <w:r>
                      <w:instrText xml:space="preserve">PAGE   \* MERGEFORMAT</w:instrText>
                    </w:r>
                    <w:r>
                      <w:fldChar w:fldCharType="separate"/>
                    </w:r>
                    <w:r>
                      <w:rPr>
                        <w:lang w:val="zh-CN"/>
                      </w:rPr>
                      <w:t xml:space="preserve">54</w:t>
                    </w:r>
                    <w:r>
                      <w:rPr>
                        <w:lang w:val="zh-CN"/>
                      </w:rPr>
                      <w:fldChar w:fldCharType="end"/>
                    </w:r>
                    <w:r/>
                  </w:p>
                </w:txbxContent>
              </v:textbox>
            </v:shape>
          </w:pict>
        </mc:Fallback>
      </mc:AlternateContent>
    </w:r>
    <w:r/>
  </w:p>
  <w:p>
    <w:pPr>
      <w:pStyle w:val="10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55"/>
                            <w:jc w:val="center"/>
                          </w:pPr>
                          <w:r>
                            <w:fldChar w:fldCharType="begin"/>
                          </w:r>
                          <w:r>
                            <w:instrText xml:space="preserve">PAGE   \* MERGEFORMAT</w:instrText>
                          </w:r>
                          <w:r>
                            <w:fldChar w:fldCharType="separate"/>
                          </w:r>
                          <w:r>
                            <w:rPr>
                              <w:lang w:val="zh-CN"/>
                            </w:rPr>
                            <w:t xml:space="preserve">84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jc w:val="center"/>
                    </w:pPr>
                    <w:r>
                      <w:fldChar w:fldCharType="begin"/>
                    </w:r>
                    <w:r>
                      <w:instrText xml:space="preserve">PAGE   \* MERGEFORMAT</w:instrText>
                    </w:r>
                    <w:r>
                      <w:fldChar w:fldCharType="separate"/>
                    </w:r>
                    <w:r>
                      <w:rPr>
                        <w:lang w:val="zh-CN"/>
                      </w:rPr>
                      <w:t xml:space="preserve">84</w:t>
                    </w:r>
                    <w:r>
                      <w:rPr>
                        <w:lang w:val="zh-CN"/>
                      </w:rPr>
                      <w:fldChar w:fldCharType="end"/>
                    </w:r>
                    <w:r/>
                  </w:p>
                </w:txbxContent>
              </v:textbox>
            </v:shape>
          </w:pict>
        </mc:Fallback>
      </mc:AlternateContent>
    </w:r>
    <w:r/>
  </w:p>
  <w:p>
    <w:pPr>
      <w:pStyle w:val="10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t xml:space="preserve">                                                         </w:t>
    </w:r>
    <w:r>
      <w:rPr>
        <w:rFonts w:hint="eastAsia"/>
      </w:rPr>
      <w:t xml:space="preserve">苏合邦筑工程咨询集团股份有限公司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both"/>
    </w:pPr>
    <w:r>
      <w:t xml:space="preserve">                                                       </w:t>
    </w:r>
    <w:r>
      <w:rPr>
        <w:rFonts w:hint="eastAsia"/>
      </w:rPr>
      <w:t xml:space="preserve">苏合邦筑工程咨询集团股份有限公司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0"/>
      </w:pPr>
      <w:rPr>
        <w:rFonts w:hint="default"/>
        <w:color w:val="ff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2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next w:val="8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9">
    <w:name w:val="Heading 1"/>
    <w:basedOn w:val="808"/>
    <w:next w:val="808"/>
    <w:uiPriority w:val="99"/>
    <w:qFormat/>
    <w:pPr>
      <w:keepLines/>
      <w:keepNext/>
      <w:spacing w:before="480" w:after="200"/>
      <w:outlineLvl w:val="0"/>
    </w:pPr>
    <w:rPr>
      <w:rFonts w:ascii="Arial" w:hAnsi="Arial" w:cs="Arial"/>
      <w:sz w:val="40"/>
      <w:szCs w:val="40"/>
    </w:rPr>
  </w:style>
  <w:style w:type="paragraph" w:styleId="810">
    <w:name w:val="Heading 2"/>
    <w:basedOn w:val="808"/>
    <w:next w:val="808"/>
    <w:uiPriority w:val="99"/>
    <w:qFormat/>
    <w:pPr>
      <w:keepLines/>
      <w:keepNext/>
      <w:spacing w:before="360" w:after="200"/>
      <w:outlineLvl w:val="1"/>
    </w:pPr>
    <w:rPr>
      <w:rFonts w:ascii="Arial" w:hAnsi="Arial" w:cs="Arial"/>
      <w:sz w:val="34"/>
    </w:rPr>
  </w:style>
  <w:style w:type="paragraph" w:styleId="811">
    <w:name w:val="Heading 3"/>
    <w:basedOn w:val="808"/>
    <w:next w:val="808"/>
    <w:uiPriority w:val="99"/>
    <w:qFormat/>
    <w:pPr>
      <w:keepLines/>
      <w:keepNext/>
      <w:spacing w:before="320" w:after="200"/>
      <w:outlineLvl w:val="2"/>
    </w:pPr>
    <w:rPr>
      <w:rFonts w:ascii="Arial" w:hAnsi="Arial" w:cs="Arial"/>
      <w:sz w:val="30"/>
      <w:szCs w:val="30"/>
    </w:rPr>
  </w:style>
  <w:style w:type="paragraph" w:styleId="812">
    <w:name w:val="Heading 4"/>
    <w:basedOn w:val="808"/>
    <w:next w:val="808"/>
    <w:uiPriority w:val="99"/>
    <w:qFormat/>
    <w:pPr>
      <w:keepLines/>
      <w:keepNext/>
      <w:spacing w:before="320" w:after="200"/>
      <w:outlineLvl w:val="3"/>
    </w:pPr>
    <w:rPr>
      <w:rFonts w:ascii="Arial" w:hAnsi="Arial" w:cs="Arial"/>
      <w:b/>
      <w:bCs/>
      <w:sz w:val="26"/>
      <w:szCs w:val="26"/>
    </w:rPr>
  </w:style>
  <w:style w:type="paragraph" w:styleId="813">
    <w:name w:val="Heading 5"/>
    <w:basedOn w:val="808"/>
    <w:next w:val="808"/>
    <w:uiPriority w:val="99"/>
    <w:qFormat/>
    <w:pPr>
      <w:keepLines/>
      <w:keepNext/>
      <w:spacing w:before="320" w:after="200"/>
      <w:outlineLvl w:val="4"/>
    </w:pPr>
    <w:rPr>
      <w:rFonts w:ascii="Arial" w:hAnsi="Arial" w:cs="Arial"/>
      <w:b/>
      <w:bCs/>
      <w:sz w:val="24"/>
      <w:szCs w:val="24"/>
    </w:rPr>
  </w:style>
  <w:style w:type="paragraph" w:styleId="814">
    <w:name w:val="Heading 6"/>
    <w:basedOn w:val="808"/>
    <w:next w:val="808"/>
    <w:uiPriority w:val="99"/>
    <w:qFormat/>
    <w:pPr>
      <w:keepLines/>
      <w:keepNext/>
      <w:spacing w:before="320" w:after="200"/>
      <w:outlineLvl w:val="5"/>
    </w:pPr>
    <w:rPr>
      <w:rFonts w:ascii="Arial" w:hAnsi="Arial" w:cs="Arial"/>
      <w:b/>
      <w:bCs/>
      <w:sz w:val="22"/>
    </w:rPr>
  </w:style>
  <w:style w:type="paragraph" w:styleId="815">
    <w:name w:val="Heading 7"/>
    <w:basedOn w:val="808"/>
    <w:next w:val="808"/>
    <w:uiPriority w:val="99"/>
    <w:qFormat/>
    <w:pPr>
      <w:keepLines/>
      <w:keepNext/>
      <w:spacing w:before="320" w:after="200"/>
      <w:outlineLvl w:val="6"/>
    </w:pPr>
    <w:rPr>
      <w:rFonts w:ascii="Arial" w:hAnsi="Arial" w:cs="Arial"/>
      <w:b/>
      <w:bCs/>
      <w:i/>
      <w:iCs/>
      <w:sz w:val="22"/>
    </w:rPr>
  </w:style>
  <w:style w:type="paragraph" w:styleId="816">
    <w:name w:val="Heading 8"/>
    <w:basedOn w:val="808"/>
    <w:next w:val="808"/>
    <w:uiPriority w:val="99"/>
    <w:qFormat/>
    <w:pPr>
      <w:keepLines/>
      <w:keepNext/>
      <w:spacing w:before="320" w:after="200"/>
      <w:outlineLvl w:val="7"/>
    </w:pPr>
    <w:rPr>
      <w:rFonts w:ascii="Arial" w:hAnsi="Arial" w:cs="Arial"/>
      <w:i/>
      <w:iCs/>
      <w:sz w:val="22"/>
    </w:rPr>
  </w:style>
  <w:style w:type="paragraph" w:styleId="817">
    <w:name w:val="Heading 9"/>
    <w:basedOn w:val="808"/>
    <w:next w:val="808"/>
    <w:uiPriority w:val="99"/>
    <w:qFormat/>
    <w:pPr>
      <w:keepLines/>
      <w:keepNext/>
      <w:spacing w:before="320" w:after="200"/>
      <w:outlineLvl w:val="8"/>
    </w:pPr>
    <w:rPr>
      <w:rFonts w:ascii="Arial" w:hAnsi="Arial" w:cs="Arial"/>
      <w:i/>
      <w:iCs/>
      <w:szCs w:val="21"/>
    </w:rPr>
  </w:style>
  <w:style w:type="character" w:styleId="818" w:default="1">
    <w:name w:val="Default Paragraph Font"/>
    <w:uiPriority w:val="99"/>
    <w:semiHidden/>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basedOn w:val="808"/>
    <w:next w:val="808"/>
    <w:uiPriority w:val="99"/>
    <w:qFormat/>
    <w:pPr>
      <w:ind w:left="1701"/>
      <w:spacing w:after="57"/>
    </w:pPr>
  </w:style>
  <w:style w:type="paragraph" w:styleId="821">
    <w:name w:val="Caption"/>
    <w:basedOn w:val="808"/>
    <w:next w:val="808"/>
    <w:uiPriority w:val="99"/>
    <w:qFormat/>
    <w:pPr>
      <w:spacing w:line="276" w:lineRule="auto"/>
    </w:pPr>
    <w:rPr>
      <w:b/>
      <w:bCs/>
      <w:color w:val="4f81bd"/>
      <w:sz w:val="18"/>
      <w:szCs w:val="18"/>
    </w:rPr>
  </w:style>
  <w:style w:type="paragraph" w:styleId="822">
    <w:name w:val="annotation text"/>
    <w:basedOn w:val="808"/>
    <w:link w:val="864"/>
    <w:uiPriority w:val="99"/>
    <w:qFormat/>
    <w:pPr>
      <w:jc w:val="left"/>
    </w:pPr>
  </w:style>
  <w:style w:type="paragraph" w:styleId="823">
    <w:name w:val="List Bullet 2"/>
    <w:basedOn w:val="808"/>
    <w:uiPriority w:val="99"/>
    <w:qFormat/>
    <w:pPr>
      <w:numPr>
        <w:ilvl w:val="0"/>
        <w:numId w:val="1"/>
      </w:numPr>
    </w:pPr>
  </w:style>
  <w:style w:type="paragraph" w:styleId="824">
    <w:name w:val="index 4"/>
    <w:basedOn w:val="808"/>
    <w:next w:val="808"/>
    <w:uiPriority w:val="99"/>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25">
    <w:name w:val="toc 5"/>
    <w:basedOn w:val="808"/>
    <w:next w:val="808"/>
    <w:uiPriority w:val="99"/>
    <w:qFormat/>
    <w:pPr>
      <w:ind w:left="1134"/>
      <w:spacing w:after="57"/>
    </w:pPr>
  </w:style>
  <w:style w:type="paragraph" w:styleId="826">
    <w:name w:val="toc 3"/>
    <w:basedOn w:val="808"/>
    <w:next w:val="808"/>
    <w:uiPriority w:val="99"/>
    <w:qFormat/>
    <w:pPr>
      <w:ind w:left="567"/>
      <w:spacing w:after="57"/>
    </w:pPr>
  </w:style>
  <w:style w:type="paragraph" w:styleId="827">
    <w:name w:val="toc 8"/>
    <w:basedOn w:val="808"/>
    <w:next w:val="808"/>
    <w:uiPriority w:val="99"/>
    <w:qFormat/>
    <w:pPr>
      <w:ind w:left="1984"/>
      <w:spacing w:after="57"/>
    </w:pPr>
  </w:style>
  <w:style w:type="paragraph" w:styleId="828">
    <w:name w:val="endnote text"/>
    <w:basedOn w:val="808"/>
    <w:uiPriority w:val="99"/>
    <w:qFormat/>
    <w:rPr>
      <w:sz w:val="20"/>
    </w:rPr>
  </w:style>
  <w:style w:type="paragraph" w:styleId="829">
    <w:name w:val="Footer"/>
    <w:basedOn w:val="808"/>
    <w:link w:val="867"/>
    <w:uiPriority w:val="99"/>
    <w:qFormat/>
    <w:pPr>
      <w:tabs>
        <w:tab w:val="center" w:pos="7143" w:leader="none"/>
        <w:tab w:val="right" w:pos="14287" w:leader="none"/>
      </w:tabs>
    </w:pPr>
  </w:style>
  <w:style w:type="paragraph" w:styleId="830">
    <w:name w:val="Header"/>
    <w:basedOn w:val="808"/>
    <w:uiPriority w:val="99"/>
    <w:qFormat/>
    <w:pPr>
      <w:tabs>
        <w:tab w:val="center" w:pos="7143" w:leader="none"/>
        <w:tab w:val="right" w:pos="14287" w:leader="none"/>
      </w:tabs>
    </w:pPr>
  </w:style>
  <w:style w:type="paragraph" w:styleId="831">
    <w:name w:val="toc 1"/>
    <w:basedOn w:val="808"/>
    <w:next w:val="808"/>
    <w:uiPriority w:val="99"/>
    <w:qFormat/>
    <w:pPr>
      <w:spacing w:after="57"/>
    </w:pPr>
  </w:style>
  <w:style w:type="paragraph" w:styleId="832">
    <w:name w:val="toc 4"/>
    <w:basedOn w:val="808"/>
    <w:next w:val="808"/>
    <w:uiPriority w:val="99"/>
    <w:qFormat/>
    <w:pPr>
      <w:ind w:left="850"/>
      <w:spacing w:after="57"/>
    </w:pPr>
  </w:style>
  <w:style w:type="paragraph" w:styleId="833">
    <w:name w:val="Subtitle"/>
    <w:basedOn w:val="808"/>
    <w:next w:val="808"/>
    <w:uiPriority w:val="99"/>
    <w:qFormat/>
    <w:pPr>
      <w:spacing w:before="200" w:after="200"/>
    </w:pPr>
    <w:rPr>
      <w:sz w:val="24"/>
      <w:szCs w:val="24"/>
    </w:rPr>
  </w:style>
  <w:style w:type="paragraph" w:styleId="834">
    <w:name w:val="footnote text"/>
    <w:basedOn w:val="808"/>
    <w:uiPriority w:val="99"/>
    <w:qFormat/>
    <w:pPr>
      <w:spacing w:after="40"/>
    </w:pPr>
    <w:rPr>
      <w:sz w:val="18"/>
    </w:rPr>
  </w:style>
  <w:style w:type="paragraph" w:styleId="835">
    <w:name w:val="toc 6"/>
    <w:basedOn w:val="808"/>
    <w:next w:val="808"/>
    <w:uiPriority w:val="99"/>
    <w:qFormat/>
    <w:pPr>
      <w:ind w:left="1417"/>
      <w:spacing w:after="57"/>
    </w:pPr>
  </w:style>
  <w:style w:type="paragraph" w:styleId="836">
    <w:name w:val="table of figures"/>
    <w:basedOn w:val="808"/>
    <w:next w:val="808"/>
    <w:uiPriority w:val="99"/>
    <w:qFormat/>
  </w:style>
  <w:style w:type="paragraph" w:styleId="837">
    <w:name w:val="toc 2"/>
    <w:basedOn w:val="808"/>
    <w:next w:val="808"/>
    <w:uiPriority w:val="99"/>
    <w:qFormat/>
    <w:pPr>
      <w:ind w:left="283"/>
      <w:spacing w:after="57"/>
    </w:pPr>
  </w:style>
  <w:style w:type="paragraph" w:styleId="838">
    <w:name w:val="toc 9"/>
    <w:basedOn w:val="808"/>
    <w:next w:val="808"/>
    <w:uiPriority w:val="99"/>
    <w:qFormat/>
    <w:pPr>
      <w:ind w:left="2268"/>
      <w:spacing w:after="57"/>
    </w:pPr>
  </w:style>
  <w:style w:type="paragraph" w:styleId="839">
    <w:name w:val="Title"/>
    <w:basedOn w:val="808"/>
    <w:next w:val="808"/>
    <w:uiPriority w:val="99"/>
    <w:qFormat/>
    <w:pPr>
      <w:contextualSpacing/>
      <w:spacing w:before="300" w:after="200"/>
    </w:pPr>
    <w:rPr>
      <w:sz w:val="48"/>
      <w:szCs w:val="48"/>
    </w:rPr>
  </w:style>
  <w:style w:type="table" w:styleId="840">
    <w:name w:val="Table Grid"/>
    <w:basedOn w:val="819"/>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basedOn w:val="818"/>
    <w:uiPriority w:val="99"/>
    <w:qFormat/>
    <w:rPr>
      <w:rFonts w:cs="Times New Roman"/>
      <w:vertAlign w:val="superscript"/>
    </w:rPr>
  </w:style>
  <w:style w:type="character" w:styleId="842">
    <w:name w:val="Hyperlink"/>
    <w:basedOn w:val="818"/>
    <w:uiPriority w:val="99"/>
    <w:qFormat/>
    <w:rPr>
      <w:rFonts w:cs="Times New Roman"/>
      <w:color w:val="0000ff"/>
      <w:u w:val="single"/>
    </w:rPr>
  </w:style>
  <w:style w:type="character" w:styleId="843">
    <w:name w:val="footnote reference"/>
    <w:basedOn w:val="818"/>
    <w:uiPriority w:val="99"/>
    <w:qFormat/>
    <w:rPr>
      <w:rFonts w:cs="Times New Roman"/>
      <w:vertAlign w:val="superscript"/>
    </w:rPr>
  </w:style>
  <w:style w:type="paragraph" w:styleId="844" w:customStyle="1">
    <w:name w:val="TOC Heading"/>
    <w:uiPriority w:val="39"/>
    <w:unhideWhenUsed/>
    <w:rPr>
      <w:rFonts w:hint="default" w:ascii="Times New Roman" w:hAnsi="Times New Roman" w:eastAsia="宋体" w:cs="Times New Roman"/>
    </w:rPr>
  </w:style>
  <w:style w:type="character" w:styleId="845" w:customStyle="1">
    <w:name w:val="Heading 1 Char"/>
    <w:basedOn w:val="818"/>
    <w:link w:val="846"/>
    <w:uiPriority w:val="99"/>
    <w:qFormat/>
    <w:rPr>
      <w:rFonts w:ascii="Arial" w:hAnsi="Arial" w:cs="Times New Roman"/>
      <w:sz w:val="40"/>
    </w:rPr>
  </w:style>
  <w:style w:type="paragraph" w:styleId="846" w:customStyle="1">
    <w:name w:val="标题 111"/>
    <w:basedOn w:val="808"/>
    <w:next w:val="808"/>
    <w:link w:val="845"/>
    <w:uiPriority w:val="99"/>
    <w:qFormat/>
    <w:pPr>
      <w:keepLines/>
      <w:keepNext/>
      <w:spacing w:before="480" w:after="200"/>
      <w:outlineLvl w:val="0"/>
    </w:pPr>
    <w:rPr>
      <w:rFonts w:ascii="Arial" w:hAnsi="Arial"/>
      <w:sz w:val="40"/>
      <w:szCs w:val="40"/>
    </w:rPr>
  </w:style>
  <w:style w:type="character" w:styleId="847" w:customStyle="1">
    <w:name w:val="Heading 2 Char"/>
    <w:basedOn w:val="818"/>
    <w:link w:val="848"/>
    <w:uiPriority w:val="99"/>
    <w:qFormat/>
    <w:rPr>
      <w:rFonts w:ascii="Arial" w:hAnsi="Arial" w:cs="Times New Roman"/>
      <w:sz w:val="34"/>
    </w:rPr>
  </w:style>
  <w:style w:type="paragraph" w:styleId="848" w:customStyle="1">
    <w:name w:val="标题 211"/>
    <w:basedOn w:val="808"/>
    <w:next w:val="849"/>
    <w:link w:val="847"/>
    <w:uiPriority w:val="99"/>
    <w:qFormat/>
    <w:pPr>
      <w:keepLines/>
      <w:keepNext/>
      <w:spacing w:before="360" w:after="200"/>
      <w:outlineLvl w:val="1"/>
    </w:pPr>
    <w:rPr>
      <w:rFonts w:ascii="Arial" w:hAnsi="Arial"/>
      <w:sz w:val="34"/>
      <w:szCs w:val="20"/>
    </w:rPr>
  </w:style>
  <w:style w:type="paragraph" w:styleId="849" w:customStyle="1">
    <w:name w:val="正文缩进12"/>
    <w:basedOn w:val="808"/>
    <w:uiPriority w:val="99"/>
    <w:qFormat/>
    <w:pPr>
      <w:ind w:firstLine="420"/>
    </w:pPr>
    <w:rPr>
      <w:sz w:val="20"/>
      <w:szCs w:val="21"/>
    </w:rPr>
  </w:style>
  <w:style w:type="character" w:styleId="850" w:customStyle="1">
    <w:name w:val="Heading 3 Char"/>
    <w:basedOn w:val="818"/>
    <w:link w:val="851"/>
    <w:uiPriority w:val="99"/>
    <w:qFormat/>
    <w:rPr>
      <w:rFonts w:ascii="Arial" w:hAnsi="Arial" w:cs="Times New Roman"/>
      <w:sz w:val="30"/>
    </w:rPr>
  </w:style>
  <w:style w:type="paragraph" w:styleId="851" w:customStyle="1">
    <w:name w:val="标题 312"/>
    <w:basedOn w:val="808"/>
    <w:next w:val="808"/>
    <w:link w:val="850"/>
    <w:uiPriority w:val="99"/>
    <w:qFormat/>
    <w:pPr>
      <w:keepLines/>
      <w:keepNext/>
      <w:spacing w:before="320" w:after="200"/>
      <w:outlineLvl w:val="2"/>
    </w:pPr>
    <w:rPr>
      <w:rFonts w:ascii="Arial" w:hAnsi="Arial"/>
      <w:sz w:val="30"/>
      <w:szCs w:val="30"/>
    </w:rPr>
  </w:style>
  <w:style w:type="character" w:styleId="852" w:customStyle="1">
    <w:name w:val="Heading 4 Char"/>
    <w:basedOn w:val="818"/>
    <w:link w:val="853"/>
    <w:uiPriority w:val="99"/>
    <w:qFormat/>
    <w:rPr>
      <w:rFonts w:ascii="Arial" w:hAnsi="Arial" w:cs="Times New Roman"/>
      <w:b/>
      <w:sz w:val="26"/>
    </w:rPr>
  </w:style>
  <w:style w:type="paragraph" w:styleId="853" w:customStyle="1">
    <w:name w:val="标题 411"/>
    <w:basedOn w:val="808"/>
    <w:next w:val="808"/>
    <w:link w:val="852"/>
    <w:uiPriority w:val="99"/>
    <w:qFormat/>
    <w:pPr>
      <w:keepLines/>
      <w:keepNext/>
      <w:spacing w:before="320" w:after="200"/>
      <w:outlineLvl w:val="3"/>
    </w:pPr>
    <w:rPr>
      <w:rFonts w:ascii="Arial" w:hAnsi="Arial"/>
      <w:b/>
      <w:bCs/>
      <w:sz w:val="26"/>
      <w:szCs w:val="26"/>
    </w:rPr>
  </w:style>
  <w:style w:type="character" w:styleId="854" w:customStyle="1">
    <w:name w:val="Heading 5 Char"/>
    <w:basedOn w:val="818"/>
    <w:link w:val="855"/>
    <w:uiPriority w:val="99"/>
    <w:qFormat/>
    <w:rPr>
      <w:rFonts w:ascii="Arial" w:hAnsi="Arial" w:cs="Times New Roman"/>
      <w:b/>
      <w:sz w:val="24"/>
    </w:rPr>
  </w:style>
  <w:style w:type="paragraph" w:styleId="855" w:customStyle="1">
    <w:name w:val="标题 51"/>
    <w:basedOn w:val="808"/>
    <w:next w:val="808"/>
    <w:link w:val="854"/>
    <w:uiPriority w:val="99"/>
    <w:qFormat/>
    <w:pPr>
      <w:keepLines/>
      <w:keepNext/>
      <w:spacing w:before="320" w:after="200"/>
      <w:outlineLvl w:val="4"/>
    </w:pPr>
    <w:rPr>
      <w:rFonts w:ascii="Arial" w:hAnsi="Arial"/>
      <w:b/>
      <w:bCs/>
      <w:sz w:val="24"/>
      <w:szCs w:val="24"/>
    </w:rPr>
  </w:style>
  <w:style w:type="character" w:styleId="856" w:customStyle="1">
    <w:name w:val="Heading 6 Char"/>
    <w:basedOn w:val="818"/>
    <w:link w:val="857"/>
    <w:uiPriority w:val="99"/>
    <w:qFormat/>
    <w:rPr>
      <w:rFonts w:ascii="Arial" w:hAnsi="Arial" w:cs="Times New Roman"/>
      <w:b/>
      <w:sz w:val="22"/>
    </w:rPr>
  </w:style>
  <w:style w:type="paragraph" w:styleId="857" w:customStyle="1">
    <w:name w:val="标题 61"/>
    <w:basedOn w:val="808"/>
    <w:next w:val="808"/>
    <w:link w:val="856"/>
    <w:uiPriority w:val="99"/>
    <w:qFormat/>
    <w:pPr>
      <w:keepLines/>
      <w:keepNext/>
      <w:spacing w:before="320" w:after="200"/>
      <w:outlineLvl w:val="5"/>
    </w:pPr>
    <w:rPr>
      <w:rFonts w:ascii="Arial" w:hAnsi="Arial"/>
      <w:b/>
      <w:bCs/>
      <w:sz w:val="22"/>
    </w:rPr>
  </w:style>
  <w:style w:type="character" w:styleId="858" w:customStyle="1">
    <w:name w:val="Heading 7 Char"/>
    <w:basedOn w:val="818"/>
    <w:link w:val="859"/>
    <w:uiPriority w:val="99"/>
    <w:qFormat/>
    <w:rPr>
      <w:rFonts w:ascii="Arial" w:hAnsi="Arial" w:cs="Times New Roman"/>
      <w:b/>
      <w:i/>
      <w:sz w:val="22"/>
    </w:rPr>
  </w:style>
  <w:style w:type="paragraph" w:styleId="859" w:customStyle="1">
    <w:name w:val="标题 71"/>
    <w:basedOn w:val="808"/>
    <w:next w:val="808"/>
    <w:link w:val="858"/>
    <w:uiPriority w:val="99"/>
    <w:qFormat/>
    <w:pPr>
      <w:keepLines/>
      <w:keepNext/>
      <w:spacing w:before="320" w:after="200"/>
      <w:outlineLvl w:val="6"/>
    </w:pPr>
    <w:rPr>
      <w:rFonts w:ascii="Arial" w:hAnsi="Arial"/>
      <w:b/>
      <w:bCs/>
      <w:i/>
      <w:iCs/>
      <w:sz w:val="22"/>
    </w:rPr>
  </w:style>
  <w:style w:type="character" w:styleId="860" w:customStyle="1">
    <w:name w:val="Heading 8 Char"/>
    <w:basedOn w:val="818"/>
    <w:link w:val="861"/>
    <w:uiPriority w:val="99"/>
    <w:qFormat/>
    <w:rPr>
      <w:rFonts w:ascii="Arial" w:hAnsi="Arial" w:cs="Times New Roman"/>
      <w:i/>
      <w:sz w:val="22"/>
    </w:rPr>
  </w:style>
  <w:style w:type="paragraph" w:styleId="861" w:customStyle="1">
    <w:name w:val="标题 81"/>
    <w:basedOn w:val="808"/>
    <w:next w:val="808"/>
    <w:link w:val="860"/>
    <w:uiPriority w:val="99"/>
    <w:qFormat/>
    <w:pPr>
      <w:keepLines/>
      <w:keepNext/>
      <w:spacing w:before="320" w:after="200"/>
      <w:outlineLvl w:val="7"/>
    </w:pPr>
    <w:rPr>
      <w:rFonts w:ascii="Arial" w:hAnsi="Arial"/>
      <w:i/>
      <w:iCs/>
      <w:sz w:val="22"/>
    </w:rPr>
  </w:style>
  <w:style w:type="character" w:styleId="862" w:customStyle="1">
    <w:name w:val="Heading 9 Char"/>
    <w:basedOn w:val="818"/>
    <w:link w:val="863"/>
    <w:uiPriority w:val="99"/>
    <w:qFormat/>
    <w:rPr>
      <w:rFonts w:ascii="Arial" w:hAnsi="Arial" w:cs="Times New Roman"/>
      <w:i/>
      <w:sz w:val="21"/>
    </w:rPr>
  </w:style>
  <w:style w:type="paragraph" w:styleId="863" w:customStyle="1">
    <w:name w:val="标题 91"/>
    <w:basedOn w:val="808"/>
    <w:next w:val="808"/>
    <w:link w:val="862"/>
    <w:uiPriority w:val="99"/>
    <w:qFormat/>
    <w:pPr>
      <w:keepLines/>
      <w:keepNext/>
      <w:spacing w:before="320" w:after="200"/>
      <w:outlineLvl w:val="8"/>
    </w:pPr>
    <w:rPr>
      <w:rFonts w:ascii="Arial" w:hAnsi="Arial"/>
      <w:i/>
      <w:iCs/>
      <w:szCs w:val="21"/>
    </w:rPr>
  </w:style>
  <w:style w:type="character" w:styleId="864" w:customStyle="1">
    <w:name w:val="Comment Text Char"/>
    <w:basedOn w:val="818"/>
    <w:link w:val="822"/>
    <w:uiPriority w:val="99"/>
    <w:semiHidden/>
    <w:qFormat/>
    <w:rPr>
      <w:rFonts w:cs="Times New Roman"/>
    </w:rPr>
  </w:style>
  <w:style w:type="character" w:styleId="865" w:customStyle="1">
    <w:name w:val="Endnote Text Char"/>
    <w:basedOn w:val="818"/>
    <w:link w:val="866"/>
    <w:uiPriority w:val="99"/>
    <w:qFormat/>
    <w:rPr>
      <w:rFonts w:cs="Times New Roman"/>
      <w:sz w:val="20"/>
    </w:rPr>
  </w:style>
  <w:style w:type="paragraph" w:styleId="866" w:customStyle="1">
    <w:name w:val="尾注文本1"/>
    <w:basedOn w:val="808"/>
    <w:link w:val="865"/>
    <w:uiPriority w:val="99"/>
    <w:qFormat/>
    <w:rPr>
      <w:sz w:val="20"/>
      <w:szCs w:val="20"/>
    </w:rPr>
  </w:style>
  <w:style w:type="character" w:styleId="867" w:customStyle="1">
    <w:name w:val="Footer Char"/>
    <w:basedOn w:val="818"/>
    <w:link w:val="829"/>
    <w:uiPriority w:val="99"/>
    <w:qFormat/>
    <w:rPr>
      <w:rFonts w:cs="Times New Roman"/>
    </w:rPr>
  </w:style>
  <w:style w:type="character" w:styleId="868" w:customStyle="1">
    <w:name w:val="Header Char"/>
    <w:basedOn w:val="818"/>
    <w:link w:val="869"/>
    <w:uiPriority w:val="99"/>
    <w:qFormat/>
    <w:rPr>
      <w:rFonts w:cs="Times New Roman"/>
    </w:rPr>
  </w:style>
  <w:style w:type="paragraph" w:styleId="869" w:customStyle="1">
    <w:name w:val="页眉11"/>
    <w:basedOn w:val="808"/>
    <w:link w:val="868"/>
    <w:uiPriority w:val="99"/>
    <w:qFormat/>
    <w:pPr>
      <w:tabs>
        <w:tab w:val="center" w:pos="7143" w:leader="none"/>
        <w:tab w:val="right" w:pos="14287" w:leader="none"/>
      </w:tabs>
    </w:pPr>
  </w:style>
  <w:style w:type="character" w:styleId="870" w:customStyle="1">
    <w:name w:val="Subtitle Char"/>
    <w:basedOn w:val="818"/>
    <w:link w:val="871"/>
    <w:uiPriority w:val="99"/>
    <w:qFormat/>
    <w:rPr>
      <w:rFonts w:cs="Times New Roman"/>
      <w:sz w:val="24"/>
    </w:rPr>
  </w:style>
  <w:style w:type="paragraph" w:styleId="871" w:customStyle="1">
    <w:name w:val="副标题1"/>
    <w:basedOn w:val="808"/>
    <w:next w:val="808"/>
    <w:link w:val="870"/>
    <w:uiPriority w:val="99"/>
    <w:qFormat/>
    <w:pPr>
      <w:spacing w:before="200" w:after="200"/>
    </w:pPr>
    <w:rPr>
      <w:sz w:val="24"/>
      <w:szCs w:val="24"/>
    </w:rPr>
  </w:style>
  <w:style w:type="character" w:styleId="872" w:customStyle="1">
    <w:name w:val="Footnote Text Char"/>
    <w:basedOn w:val="818"/>
    <w:link w:val="873"/>
    <w:uiPriority w:val="99"/>
    <w:qFormat/>
    <w:rPr>
      <w:rFonts w:cs="Times New Roman"/>
      <w:sz w:val="18"/>
    </w:rPr>
  </w:style>
  <w:style w:type="paragraph" w:styleId="873" w:customStyle="1">
    <w:name w:val="脚注文本1"/>
    <w:basedOn w:val="808"/>
    <w:link w:val="872"/>
    <w:uiPriority w:val="99"/>
    <w:qFormat/>
    <w:pPr>
      <w:spacing w:after="40"/>
    </w:pPr>
    <w:rPr>
      <w:sz w:val="18"/>
      <w:szCs w:val="20"/>
    </w:rPr>
  </w:style>
  <w:style w:type="character" w:styleId="874" w:customStyle="1">
    <w:name w:val="Title Char"/>
    <w:basedOn w:val="818"/>
    <w:link w:val="875"/>
    <w:uiPriority w:val="99"/>
    <w:qFormat/>
    <w:rPr>
      <w:rFonts w:cs="Times New Roman"/>
      <w:sz w:val="48"/>
    </w:rPr>
  </w:style>
  <w:style w:type="paragraph" w:styleId="875" w:customStyle="1">
    <w:name w:val="标题1"/>
    <w:basedOn w:val="808"/>
    <w:next w:val="808"/>
    <w:link w:val="874"/>
    <w:uiPriority w:val="99"/>
    <w:qFormat/>
    <w:pPr>
      <w:contextualSpacing/>
      <w:spacing w:before="300" w:after="200"/>
    </w:pPr>
    <w:rPr>
      <w:sz w:val="48"/>
      <w:szCs w:val="48"/>
    </w:rPr>
  </w:style>
  <w:style w:type="paragraph" w:styleId="876" w:customStyle="1">
    <w:name w:val="正文（缩进）"/>
    <w:basedOn w:val="808"/>
    <w:uiPriority w:val="99"/>
    <w:qFormat/>
    <w:pPr>
      <w:ind w:firstLine="200"/>
      <w:spacing w:line="360" w:lineRule="auto"/>
    </w:pPr>
    <w:rPr>
      <w:rFonts w:ascii="宋体" w:hAnsi="宋体"/>
    </w:rPr>
  </w:style>
  <w:style w:type="character" w:styleId="877" w:customStyle="1">
    <w:name w:val="默认段落字体11"/>
    <w:uiPriority w:val="99"/>
    <w:qFormat/>
  </w:style>
  <w:style w:type="table" w:styleId="878" w:customStyle="1">
    <w:name w:val="普通表格11"/>
    <w:uiPriority w:val="99"/>
    <w:qFormat/>
    <w:rPr>
      <w:sz w:val="20"/>
      <w:szCs w:val="20"/>
    </w:rPr>
    <w:tblPr>
      <w:tblCellMar>
        <w:left w:w="0" w:type="dxa"/>
        <w:top w:w="0" w:type="dxa"/>
        <w:right w:w="0" w:type="dxa"/>
        <w:bottom w:w="0" w:type="dxa"/>
      </w:tblCellMar>
    </w:tblPr>
  </w:style>
  <w:style w:type="paragraph" w:styleId="879" w:customStyle="1">
    <w:name w:val="目录 71"/>
    <w:basedOn w:val="808"/>
    <w:next w:val="808"/>
    <w:uiPriority w:val="99"/>
    <w:qFormat/>
    <w:pPr>
      <w:ind w:left="1701"/>
      <w:spacing w:after="57"/>
    </w:pPr>
  </w:style>
  <w:style w:type="paragraph" w:styleId="880" w:customStyle="1">
    <w:name w:val="题注1"/>
    <w:basedOn w:val="808"/>
    <w:next w:val="808"/>
    <w:uiPriority w:val="99"/>
    <w:qFormat/>
    <w:pPr>
      <w:spacing w:line="276" w:lineRule="auto"/>
    </w:pPr>
    <w:rPr>
      <w:b/>
      <w:bCs/>
      <w:color w:val="4f81bd"/>
      <w:sz w:val="18"/>
      <w:szCs w:val="18"/>
    </w:rPr>
  </w:style>
  <w:style w:type="paragraph" w:styleId="881" w:customStyle="1">
    <w:name w:val="文档结构图1"/>
    <w:basedOn w:val="808"/>
    <w:uiPriority w:val="99"/>
    <w:qFormat/>
    <w:rPr>
      <w:rFonts w:ascii="宋体"/>
      <w:sz w:val="18"/>
      <w:szCs w:val="18"/>
    </w:rPr>
  </w:style>
  <w:style w:type="paragraph" w:styleId="882" w:customStyle="1">
    <w:name w:val="正文文本11"/>
    <w:basedOn w:val="808"/>
    <w:uiPriority w:val="99"/>
    <w:qFormat/>
    <w:pPr>
      <w:ind w:left="100"/>
      <w:jc w:val="left"/>
    </w:pPr>
    <w:rPr>
      <w:rFonts w:ascii="宋体" w:hAnsi="宋体"/>
      <w:szCs w:val="21"/>
      <w:lang w:eastAsia="en-US"/>
    </w:rPr>
  </w:style>
  <w:style w:type="paragraph" w:styleId="883" w:customStyle="1">
    <w:name w:val="目录 51"/>
    <w:basedOn w:val="808"/>
    <w:next w:val="808"/>
    <w:uiPriority w:val="99"/>
    <w:qFormat/>
    <w:pPr>
      <w:ind w:left="1134"/>
      <w:spacing w:after="57"/>
    </w:pPr>
  </w:style>
  <w:style w:type="paragraph" w:styleId="884" w:customStyle="1">
    <w:name w:val="目录 31"/>
    <w:basedOn w:val="808"/>
    <w:next w:val="808"/>
    <w:uiPriority w:val="99"/>
    <w:qFormat/>
    <w:pPr>
      <w:ind w:left="567"/>
      <w:spacing w:after="57"/>
    </w:pPr>
  </w:style>
  <w:style w:type="paragraph" w:styleId="885" w:customStyle="1">
    <w:name w:val="纯文本11"/>
    <w:basedOn w:val="808"/>
    <w:uiPriority w:val="99"/>
    <w:qFormat/>
    <w:rPr>
      <w:rFonts w:ascii="宋体" w:hAnsi="Courier New"/>
      <w:sz w:val="20"/>
      <w:szCs w:val="21"/>
    </w:rPr>
  </w:style>
  <w:style w:type="paragraph" w:styleId="886" w:customStyle="1">
    <w:name w:val="目录 81"/>
    <w:basedOn w:val="808"/>
    <w:next w:val="808"/>
    <w:uiPriority w:val="99"/>
    <w:qFormat/>
    <w:pPr>
      <w:ind w:left="1984"/>
      <w:spacing w:after="57"/>
    </w:pPr>
  </w:style>
  <w:style w:type="paragraph" w:styleId="887" w:customStyle="1">
    <w:name w:val="页脚11"/>
    <w:basedOn w:val="808"/>
    <w:link w:val="898"/>
    <w:uiPriority w:val="99"/>
    <w:qFormat/>
    <w:pPr>
      <w:tabs>
        <w:tab w:val="center" w:pos="7143" w:leader="none"/>
        <w:tab w:val="right" w:pos="14287" w:leader="none"/>
      </w:tabs>
    </w:pPr>
  </w:style>
  <w:style w:type="paragraph" w:styleId="888" w:customStyle="1">
    <w:name w:val="目录 111"/>
    <w:basedOn w:val="808"/>
    <w:next w:val="808"/>
    <w:uiPriority w:val="99"/>
    <w:qFormat/>
    <w:pPr>
      <w:spacing w:after="57"/>
    </w:pPr>
  </w:style>
  <w:style w:type="paragraph" w:styleId="889" w:customStyle="1">
    <w:name w:val="目录 41"/>
    <w:basedOn w:val="808"/>
    <w:next w:val="808"/>
    <w:uiPriority w:val="99"/>
    <w:qFormat/>
    <w:pPr>
      <w:ind w:left="850"/>
      <w:spacing w:after="57"/>
    </w:pPr>
  </w:style>
  <w:style w:type="paragraph" w:styleId="890" w:customStyle="1">
    <w:name w:val="目录 61"/>
    <w:basedOn w:val="808"/>
    <w:next w:val="808"/>
    <w:uiPriority w:val="99"/>
    <w:qFormat/>
    <w:pPr>
      <w:ind w:left="1417"/>
      <w:spacing w:after="57"/>
    </w:pPr>
  </w:style>
  <w:style w:type="paragraph" w:styleId="891" w:customStyle="1">
    <w:name w:val="图表目录1"/>
    <w:basedOn w:val="808"/>
    <w:next w:val="808"/>
    <w:uiPriority w:val="99"/>
    <w:qFormat/>
  </w:style>
  <w:style w:type="paragraph" w:styleId="892" w:customStyle="1">
    <w:name w:val="目录 21"/>
    <w:basedOn w:val="808"/>
    <w:next w:val="808"/>
    <w:uiPriority w:val="99"/>
    <w:qFormat/>
    <w:pPr>
      <w:ind w:left="283"/>
      <w:spacing w:after="57"/>
    </w:pPr>
  </w:style>
  <w:style w:type="paragraph" w:styleId="893" w:customStyle="1">
    <w:name w:val="目录 91"/>
    <w:basedOn w:val="808"/>
    <w:next w:val="808"/>
    <w:uiPriority w:val="99"/>
    <w:qFormat/>
    <w:pPr>
      <w:ind w:left="2268"/>
      <w:spacing w:after="57"/>
    </w:pPr>
  </w:style>
  <w:style w:type="table" w:styleId="894" w:customStyle="1">
    <w:name w:val="网格型1"/>
    <w:uiPriority w:val="99"/>
    <w:qFormat/>
    <w:rPr>
      <w:sz w:val="20"/>
      <w:szCs w:val="20"/>
    </w:rPr>
    <w:tblPr>
      <w:tblCellMar>
        <w:left w:w="0" w:type="dxa"/>
        <w:top w:w="0" w:type="dxa"/>
        <w:right w:w="0" w:type="dxa"/>
        <w:bottom w:w="0" w:type="dxa"/>
      </w:tblCellMar>
    </w:tblPr>
  </w:style>
  <w:style w:type="character" w:styleId="895" w:customStyle="1">
    <w:name w:val="尾注引用1"/>
    <w:uiPriority w:val="99"/>
    <w:qFormat/>
    <w:rPr>
      <w:vertAlign w:val="superscript"/>
    </w:rPr>
  </w:style>
  <w:style w:type="character" w:styleId="896" w:customStyle="1">
    <w:name w:val="超链接1"/>
    <w:uiPriority w:val="99"/>
    <w:qFormat/>
    <w:rPr>
      <w:color w:val="0000ff"/>
      <w:u w:val="single"/>
    </w:rPr>
  </w:style>
  <w:style w:type="character" w:styleId="897" w:customStyle="1">
    <w:name w:val="脚注引用1"/>
    <w:uiPriority w:val="99"/>
    <w:qFormat/>
    <w:rPr>
      <w:vertAlign w:val="superscript"/>
    </w:rPr>
  </w:style>
  <w:style w:type="character" w:styleId="898" w:customStyle="1">
    <w:name w:val="Caption Char"/>
    <w:link w:val="887"/>
    <w:uiPriority w:val="99"/>
    <w:qFormat/>
  </w:style>
  <w:style w:type="character" w:styleId="899" w:customStyle="1">
    <w:name w:val="font61"/>
    <w:uiPriority w:val="99"/>
    <w:qFormat/>
    <w:rPr>
      <w:rFonts w:ascii="宋体" w:hAnsi="宋体" w:eastAsia="宋体"/>
      <w:color w:val="000000"/>
      <w:sz w:val="21"/>
      <w:u w:val="none"/>
    </w:rPr>
  </w:style>
  <w:style w:type="paragraph" w:styleId="900" w:customStyle="1">
    <w:name w:val="正文1"/>
    <w:basedOn w:val="808"/>
    <w:next w:val="901"/>
    <w:uiPriority w:val="99"/>
    <w:qFormat/>
    <w:pPr>
      <w:jc w:val="left"/>
      <w:spacing w:line="360" w:lineRule="atLeast"/>
    </w:pPr>
    <w:rPr>
      <w:rFonts w:ascii="宋体" w:hAnsi="Calibri"/>
      <w:sz w:val="24"/>
      <w:szCs w:val="20"/>
    </w:rPr>
  </w:style>
  <w:style w:type="paragraph" w:styleId="901" w:customStyle="1">
    <w:name w:val="正文文本1"/>
    <w:basedOn w:val="808"/>
    <w:next w:val="902"/>
    <w:link w:val="1050"/>
    <w:uiPriority w:val="99"/>
    <w:qFormat/>
    <w:rPr>
      <w:rFonts w:ascii="??_GB2312" w:hAnsi="Arial" w:eastAsia="Times New Roman"/>
      <w:sz w:val="28"/>
      <w:szCs w:val="20"/>
    </w:rPr>
  </w:style>
  <w:style w:type="paragraph" w:styleId="902" w:customStyle="1">
    <w:name w:val="一级条标题"/>
    <w:basedOn w:val="903"/>
    <w:next w:val="90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3" w:customStyle="1">
    <w:name w:val="章标题"/>
    <w:next w:val="808"/>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4" w:customStyle="1">
    <w:name w:val="段"/>
    <w:basedOn w:val="900"/>
    <w:next w:val="808"/>
    <w:uiPriority w:val="99"/>
    <w:qFormat/>
    <w:pPr>
      <w:ind w:firstLine="200"/>
      <w:widowControl/>
    </w:pPr>
    <w:rPr>
      <w:sz w:val="20"/>
    </w:rPr>
  </w:style>
  <w:style w:type="paragraph" w:styleId="905">
    <w:name w:val="List Paragraph"/>
    <w:basedOn w:val="808"/>
    <w:uiPriority w:val="99"/>
    <w:qFormat/>
    <w:pPr>
      <w:contextualSpacing/>
      <w:ind w:left="720"/>
    </w:pPr>
  </w:style>
  <w:style w:type="paragraph" w:styleId="906">
    <w:name w:val="No Spacing"/>
    <w:uiPriority w:val="99"/>
    <w:qFormat/>
    <w:rPr>
      <w:rFonts w:hint="default" w:ascii="Times New Roman" w:hAnsi="Times New Roman" w:eastAsia="宋体" w:cs="Times New Roman"/>
      <w:sz w:val="20"/>
      <w:szCs w:val="20"/>
      <w:lang w:val="en-US" w:eastAsia="zh-CN" w:bidi="ar-SA"/>
    </w:rPr>
  </w:style>
  <w:style w:type="paragraph" w:styleId="907">
    <w:name w:val="Quote"/>
    <w:basedOn w:val="808"/>
    <w:next w:val="808"/>
    <w:link w:val="908"/>
    <w:uiPriority w:val="99"/>
    <w:qFormat/>
    <w:pPr>
      <w:ind w:left="720" w:right="720"/>
    </w:pPr>
    <w:rPr>
      <w:i/>
      <w:sz w:val="20"/>
      <w:szCs w:val="20"/>
    </w:rPr>
  </w:style>
  <w:style w:type="character" w:styleId="908" w:customStyle="1">
    <w:name w:val="Quote Char"/>
    <w:basedOn w:val="818"/>
    <w:link w:val="907"/>
    <w:uiPriority w:val="99"/>
    <w:qFormat/>
    <w:rPr>
      <w:rFonts w:cs="Times New Roman"/>
      <w:i/>
    </w:rPr>
  </w:style>
  <w:style w:type="paragraph" w:styleId="909">
    <w:name w:val="Intense Quote"/>
    <w:basedOn w:val="808"/>
    <w:next w:val="808"/>
    <w:link w:val="910"/>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10" w:customStyle="1">
    <w:name w:val="Intense Quote Char"/>
    <w:basedOn w:val="818"/>
    <w:link w:val="909"/>
    <w:uiPriority w:val="99"/>
    <w:qFormat/>
    <w:rPr>
      <w:rFonts w:cs="Times New Roman"/>
      <w:i/>
    </w:rPr>
  </w:style>
  <w:style w:type="table" w:styleId="911" w:customStyle="1">
    <w:name w:val="Table Grid Light"/>
    <w:uiPriority w:val="99"/>
    <w:qFormat/>
    <w:rPr>
      <w:sz w:val="20"/>
      <w:szCs w:val="20"/>
    </w:rPr>
    <w:tblPr>
      <w:tblCellMar>
        <w:left w:w="0" w:type="dxa"/>
        <w:top w:w="0" w:type="dxa"/>
        <w:right w:w="0" w:type="dxa"/>
        <w:bottom w:w="0" w:type="dxa"/>
      </w:tblCellMar>
    </w:tblPr>
  </w:style>
  <w:style w:type="table" w:styleId="912" w:customStyle="1">
    <w:name w:val="Plain Table 1"/>
    <w:uiPriority w:val="99"/>
    <w:qFormat/>
    <w:rPr>
      <w:sz w:val="20"/>
      <w:szCs w:val="20"/>
    </w:rPr>
    <w:tblPr>
      <w:tblCellMar>
        <w:left w:w="0" w:type="dxa"/>
        <w:top w:w="0" w:type="dxa"/>
        <w:right w:w="0" w:type="dxa"/>
        <w:bottom w:w="0" w:type="dxa"/>
      </w:tblCellMar>
    </w:tblPr>
  </w:style>
  <w:style w:type="table" w:styleId="913" w:customStyle="1">
    <w:name w:val="Plain Table 2"/>
    <w:uiPriority w:val="99"/>
    <w:qFormat/>
    <w:rPr>
      <w:sz w:val="20"/>
      <w:szCs w:val="20"/>
    </w:rPr>
    <w:tblPr>
      <w:tblCellMar>
        <w:left w:w="0" w:type="dxa"/>
        <w:top w:w="0" w:type="dxa"/>
        <w:right w:w="0" w:type="dxa"/>
        <w:bottom w:w="0" w:type="dxa"/>
      </w:tblCellMar>
    </w:tblPr>
  </w:style>
  <w:style w:type="table" w:styleId="914" w:customStyle="1">
    <w:name w:val="Plain Table 3"/>
    <w:uiPriority w:val="99"/>
    <w:qFormat/>
    <w:rPr>
      <w:sz w:val="20"/>
      <w:szCs w:val="20"/>
    </w:rPr>
    <w:tblPr>
      <w:tblCellMar>
        <w:left w:w="0" w:type="dxa"/>
        <w:top w:w="0" w:type="dxa"/>
        <w:right w:w="0" w:type="dxa"/>
        <w:bottom w:w="0" w:type="dxa"/>
      </w:tblCellMar>
    </w:tblPr>
  </w:style>
  <w:style w:type="table" w:styleId="915" w:customStyle="1">
    <w:name w:val="Plain Table 4"/>
    <w:uiPriority w:val="99"/>
    <w:qFormat/>
    <w:rPr>
      <w:sz w:val="20"/>
      <w:szCs w:val="20"/>
    </w:rPr>
    <w:tblPr>
      <w:tblCellMar>
        <w:left w:w="0" w:type="dxa"/>
        <w:top w:w="0" w:type="dxa"/>
        <w:right w:w="0" w:type="dxa"/>
        <w:bottom w:w="0" w:type="dxa"/>
      </w:tblCellMar>
    </w:tblPr>
  </w:style>
  <w:style w:type="table" w:styleId="916" w:customStyle="1">
    <w:name w:val="Plain Table 5"/>
    <w:uiPriority w:val="99"/>
    <w:qFormat/>
    <w:rPr>
      <w:sz w:val="20"/>
      <w:szCs w:val="20"/>
    </w:rPr>
    <w:tblPr>
      <w:tblCellMar>
        <w:left w:w="0" w:type="dxa"/>
        <w:top w:w="0" w:type="dxa"/>
        <w:right w:w="0" w:type="dxa"/>
        <w:bottom w:w="0" w:type="dxa"/>
      </w:tblCellMar>
    </w:tblPr>
  </w:style>
  <w:style w:type="table" w:styleId="917" w:customStyle="1">
    <w:name w:val="Grid Table 1 Light"/>
    <w:uiPriority w:val="99"/>
    <w:qFormat/>
    <w:rPr>
      <w:sz w:val="20"/>
      <w:szCs w:val="20"/>
    </w:rPr>
    <w:tblPr>
      <w:tblCellMar>
        <w:left w:w="0" w:type="dxa"/>
        <w:top w:w="0" w:type="dxa"/>
        <w:right w:w="0" w:type="dxa"/>
        <w:bottom w:w="0" w:type="dxa"/>
      </w:tblCellMar>
    </w:tblPr>
  </w:style>
  <w:style w:type="table" w:styleId="918" w:customStyle="1">
    <w:name w:val="Grid Table 1 Light - Accent 1"/>
    <w:uiPriority w:val="99"/>
    <w:qFormat/>
    <w:rPr>
      <w:sz w:val="20"/>
      <w:szCs w:val="20"/>
    </w:rPr>
    <w:tblPr>
      <w:tblCellMar>
        <w:left w:w="0" w:type="dxa"/>
        <w:top w:w="0" w:type="dxa"/>
        <w:right w:w="0" w:type="dxa"/>
        <w:bottom w:w="0" w:type="dxa"/>
      </w:tblCellMar>
    </w:tblPr>
  </w:style>
  <w:style w:type="table" w:styleId="919" w:customStyle="1">
    <w:name w:val="Grid Table 1 Light - Accent 2"/>
    <w:uiPriority w:val="99"/>
    <w:qFormat/>
    <w:rPr>
      <w:sz w:val="20"/>
      <w:szCs w:val="20"/>
    </w:rPr>
    <w:tblPr>
      <w:tblCellMar>
        <w:left w:w="0" w:type="dxa"/>
        <w:top w:w="0" w:type="dxa"/>
        <w:right w:w="0" w:type="dxa"/>
        <w:bottom w:w="0" w:type="dxa"/>
      </w:tblCellMar>
    </w:tblPr>
  </w:style>
  <w:style w:type="table" w:styleId="920" w:customStyle="1">
    <w:name w:val="Grid Table 1 Light - Accent 3"/>
    <w:uiPriority w:val="99"/>
    <w:qFormat/>
    <w:rPr>
      <w:sz w:val="20"/>
      <w:szCs w:val="20"/>
    </w:rPr>
    <w:tblPr>
      <w:tblCellMar>
        <w:left w:w="0" w:type="dxa"/>
        <w:top w:w="0" w:type="dxa"/>
        <w:right w:w="0" w:type="dxa"/>
        <w:bottom w:w="0" w:type="dxa"/>
      </w:tblCellMar>
    </w:tblPr>
  </w:style>
  <w:style w:type="table" w:styleId="921" w:customStyle="1">
    <w:name w:val="Grid Table 1 Light - Accent 4"/>
    <w:uiPriority w:val="99"/>
    <w:qFormat/>
    <w:rPr>
      <w:sz w:val="20"/>
      <w:szCs w:val="20"/>
    </w:rPr>
    <w:tblPr>
      <w:tblCellMar>
        <w:left w:w="0" w:type="dxa"/>
        <w:top w:w="0" w:type="dxa"/>
        <w:right w:w="0" w:type="dxa"/>
        <w:bottom w:w="0" w:type="dxa"/>
      </w:tblCellMar>
    </w:tblPr>
  </w:style>
  <w:style w:type="table" w:styleId="922" w:customStyle="1">
    <w:name w:val="Grid Table 1 Light - Accent 5"/>
    <w:uiPriority w:val="99"/>
    <w:qFormat/>
    <w:rPr>
      <w:sz w:val="20"/>
      <w:szCs w:val="20"/>
    </w:rPr>
    <w:tblPr>
      <w:tblCellMar>
        <w:left w:w="0" w:type="dxa"/>
        <w:top w:w="0" w:type="dxa"/>
        <w:right w:w="0" w:type="dxa"/>
        <w:bottom w:w="0" w:type="dxa"/>
      </w:tblCellMar>
    </w:tblPr>
  </w:style>
  <w:style w:type="table" w:styleId="923" w:customStyle="1">
    <w:name w:val="Grid Table 1 Light - Accent 6"/>
    <w:uiPriority w:val="99"/>
    <w:qFormat/>
    <w:rPr>
      <w:sz w:val="20"/>
      <w:szCs w:val="20"/>
    </w:rPr>
    <w:tblPr>
      <w:tblCellMar>
        <w:left w:w="0" w:type="dxa"/>
        <w:top w:w="0" w:type="dxa"/>
        <w:right w:w="0" w:type="dxa"/>
        <w:bottom w:w="0" w:type="dxa"/>
      </w:tblCellMar>
    </w:tblPr>
  </w:style>
  <w:style w:type="table" w:styleId="924" w:customStyle="1">
    <w:name w:val="Grid Table 2"/>
    <w:uiPriority w:val="99"/>
    <w:qFormat/>
    <w:rPr>
      <w:sz w:val="20"/>
      <w:szCs w:val="20"/>
    </w:rPr>
    <w:tblPr>
      <w:tblCellMar>
        <w:left w:w="0" w:type="dxa"/>
        <w:top w:w="0" w:type="dxa"/>
        <w:right w:w="0" w:type="dxa"/>
        <w:bottom w:w="0" w:type="dxa"/>
      </w:tblCellMar>
    </w:tblPr>
  </w:style>
  <w:style w:type="table" w:styleId="925" w:customStyle="1">
    <w:name w:val="Grid Table 2 - Accent 1"/>
    <w:uiPriority w:val="99"/>
    <w:qFormat/>
    <w:rPr>
      <w:sz w:val="20"/>
      <w:szCs w:val="20"/>
    </w:rPr>
    <w:tblPr>
      <w:tblCellMar>
        <w:left w:w="0" w:type="dxa"/>
        <w:top w:w="0" w:type="dxa"/>
        <w:right w:w="0" w:type="dxa"/>
        <w:bottom w:w="0" w:type="dxa"/>
      </w:tblCellMar>
    </w:tblPr>
  </w:style>
  <w:style w:type="table" w:styleId="926" w:customStyle="1">
    <w:name w:val="Grid Table 2 - Accent 2"/>
    <w:uiPriority w:val="99"/>
    <w:qFormat/>
    <w:rPr>
      <w:sz w:val="20"/>
      <w:szCs w:val="20"/>
    </w:rPr>
    <w:tblPr>
      <w:tblCellMar>
        <w:left w:w="0" w:type="dxa"/>
        <w:top w:w="0" w:type="dxa"/>
        <w:right w:w="0" w:type="dxa"/>
        <w:bottom w:w="0" w:type="dxa"/>
      </w:tblCellMar>
    </w:tblPr>
  </w:style>
  <w:style w:type="table" w:styleId="927" w:customStyle="1">
    <w:name w:val="Grid Table 2 - Accent 3"/>
    <w:uiPriority w:val="99"/>
    <w:qFormat/>
    <w:rPr>
      <w:sz w:val="20"/>
      <w:szCs w:val="20"/>
    </w:rPr>
    <w:tblPr>
      <w:tblCellMar>
        <w:left w:w="0" w:type="dxa"/>
        <w:top w:w="0" w:type="dxa"/>
        <w:right w:w="0" w:type="dxa"/>
        <w:bottom w:w="0" w:type="dxa"/>
      </w:tblCellMar>
    </w:tblPr>
  </w:style>
  <w:style w:type="table" w:styleId="928" w:customStyle="1">
    <w:name w:val="Grid Table 2 - Accent 4"/>
    <w:uiPriority w:val="99"/>
    <w:qFormat/>
    <w:rPr>
      <w:sz w:val="20"/>
      <w:szCs w:val="20"/>
    </w:rPr>
    <w:tblPr>
      <w:tblCellMar>
        <w:left w:w="0" w:type="dxa"/>
        <w:top w:w="0" w:type="dxa"/>
        <w:right w:w="0" w:type="dxa"/>
        <w:bottom w:w="0" w:type="dxa"/>
      </w:tblCellMar>
    </w:tblPr>
  </w:style>
  <w:style w:type="table" w:styleId="929" w:customStyle="1">
    <w:name w:val="Grid Table 2 - Accent 5"/>
    <w:uiPriority w:val="99"/>
    <w:qFormat/>
    <w:rPr>
      <w:sz w:val="20"/>
      <w:szCs w:val="20"/>
    </w:rPr>
    <w:tblPr>
      <w:tblCellMar>
        <w:left w:w="0" w:type="dxa"/>
        <w:top w:w="0" w:type="dxa"/>
        <w:right w:w="0" w:type="dxa"/>
        <w:bottom w:w="0" w:type="dxa"/>
      </w:tblCellMar>
    </w:tblPr>
  </w:style>
  <w:style w:type="table" w:styleId="930" w:customStyle="1">
    <w:name w:val="Grid Table 2 - Accent 6"/>
    <w:uiPriority w:val="99"/>
    <w:qFormat/>
    <w:rPr>
      <w:sz w:val="20"/>
      <w:szCs w:val="20"/>
    </w:rPr>
    <w:tblPr>
      <w:tblCellMar>
        <w:left w:w="0" w:type="dxa"/>
        <w:top w:w="0" w:type="dxa"/>
        <w:right w:w="0" w:type="dxa"/>
        <w:bottom w:w="0" w:type="dxa"/>
      </w:tblCellMar>
    </w:tblPr>
  </w:style>
  <w:style w:type="table" w:styleId="931" w:customStyle="1">
    <w:name w:val="Grid Table 3"/>
    <w:uiPriority w:val="99"/>
    <w:qFormat/>
    <w:rPr>
      <w:sz w:val="20"/>
      <w:szCs w:val="20"/>
    </w:rPr>
    <w:tblPr>
      <w:tblCellMar>
        <w:left w:w="0" w:type="dxa"/>
        <w:top w:w="0" w:type="dxa"/>
        <w:right w:w="0" w:type="dxa"/>
        <w:bottom w:w="0" w:type="dxa"/>
      </w:tblCellMar>
    </w:tblPr>
  </w:style>
  <w:style w:type="table" w:styleId="932" w:customStyle="1">
    <w:name w:val="Grid Table 3 - Accent 1"/>
    <w:uiPriority w:val="99"/>
    <w:qFormat/>
    <w:rPr>
      <w:sz w:val="20"/>
      <w:szCs w:val="20"/>
    </w:rPr>
    <w:tblPr>
      <w:tblCellMar>
        <w:left w:w="0" w:type="dxa"/>
        <w:top w:w="0" w:type="dxa"/>
        <w:right w:w="0" w:type="dxa"/>
        <w:bottom w:w="0" w:type="dxa"/>
      </w:tblCellMar>
    </w:tblPr>
  </w:style>
  <w:style w:type="table" w:styleId="933" w:customStyle="1">
    <w:name w:val="Grid Table 3 - Accent 2"/>
    <w:uiPriority w:val="99"/>
    <w:qFormat/>
    <w:rPr>
      <w:sz w:val="20"/>
      <w:szCs w:val="20"/>
    </w:rPr>
    <w:tblPr>
      <w:tblCellMar>
        <w:left w:w="0" w:type="dxa"/>
        <w:top w:w="0" w:type="dxa"/>
        <w:right w:w="0" w:type="dxa"/>
        <w:bottom w:w="0" w:type="dxa"/>
      </w:tblCellMar>
    </w:tblPr>
  </w:style>
  <w:style w:type="table" w:styleId="934" w:customStyle="1">
    <w:name w:val="Grid Table 3 - Accent 3"/>
    <w:uiPriority w:val="99"/>
    <w:qFormat/>
    <w:rPr>
      <w:sz w:val="20"/>
      <w:szCs w:val="20"/>
    </w:rPr>
    <w:tblPr>
      <w:tblCellMar>
        <w:left w:w="0" w:type="dxa"/>
        <w:top w:w="0" w:type="dxa"/>
        <w:right w:w="0" w:type="dxa"/>
        <w:bottom w:w="0" w:type="dxa"/>
      </w:tblCellMar>
    </w:tblPr>
  </w:style>
  <w:style w:type="table" w:styleId="935" w:customStyle="1">
    <w:name w:val="Grid Table 3 - Accent 4"/>
    <w:uiPriority w:val="99"/>
    <w:qFormat/>
    <w:rPr>
      <w:sz w:val="20"/>
      <w:szCs w:val="20"/>
    </w:rPr>
    <w:tblPr>
      <w:tblCellMar>
        <w:left w:w="0" w:type="dxa"/>
        <w:top w:w="0" w:type="dxa"/>
        <w:right w:w="0" w:type="dxa"/>
        <w:bottom w:w="0" w:type="dxa"/>
      </w:tblCellMar>
    </w:tblPr>
  </w:style>
  <w:style w:type="table" w:styleId="936" w:customStyle="1">
    <w:name w:val="Grid Table 3 - Accent 5"/>
    <w:uiPriority w:val="99"/>
    <w:qFormat/>
    <w:rPr>
      <w:sz w:val="20"/>
      <w:szCs w:val="20"/>
    </w:rPr>
    <w:tblPr>
      <w:tblCellMar>
        <w:left w:w="0" w:type="dxa"/>
        <w:top w:w="0" w:type="dxa"/>
        <w:right w:w="0" w:type="dxa"/>
        <w:bottom w:w="0" w:type="dxa"/>
      </w:tblCellMar>
    </w:tblPr>
  </w:style>
  <w:style w:type="table" w:styleId="937" w:customStyle="1">
    <w:name w:val="Grid Table 3 - Accent 6"/>
    <w:uiPriority w:val="99"/>
    <w:qFormat/>
    <w:rPr>
      <w:sz w:val="20"/>
      <w:szCs w:val="20"/>
    </w:rPr>
    <w:tblPr>
      <w:tblCellMar>
        <w:left w:w="0" w:type="dxa"/>
        <w:top w:w="0" w:type="dxa"/>
        <w:right w:w="0" w:type="dxa"/>
        <w:bottom w:w="0" w:type="dxa"/>
      </w:tblCellMar>
    </w:tblPr>
  </w:style>
  <w:style w:type="table" w:styleId="938" w:customStyle="1">
    <w:name w:val="Grid Table 4"/>
    <w:uiPriority w:val="99"/>
    <w:qFormat/>
    <w:rPr>
      <w:sz w:val="20"/>
      <w:szCs w:val="20"/>
    </w:rPr>
    <w:tblPr>
      <w:tblCellMar>
        <w:left w:w="0" w:type="dxa"/>
        <w:top w:w="0" w:type="dxa"/>
        <w:right w:w="0" w:type="dxa"/>
        <w:bottom w:w="0" w:type="dxa"/>
      </w:tblCellMar>
    </w:tblPr>
  </w:style>
  <w:style w:type="table" w:styleId="939" w:customStyle="1">
    <w:name w:val="Grid Table 4 - Accent 1"/>
    <w:uiPriority w:val="99"/>
    <w:qFormat/>
    <w:rPr>
      <w:sz w:val="20"/>
      <w:szCs w:val="20"/>
    </w:rPr>
    <w:tblPr>
      <w:tblCellMar>
        <w:left w:w="0" w:type="dxa"/>
        <w:top w:w="0" w:type="dxa"/>
        <w:right w:w="0" w:type="dxa"/>
        <w:bottom w:w="0" w:type="dxa"/>
      </w:tblCellMar>
    </w:tblPr>
  </w:style>
  <w:style w:type="table" w:styleId="940" w:customStyle="1">
    <w:name w:val="Grid Table 4 - Accent 2"/>
    <w:uiPriority w:val="99"/>
    <w:qFormat/>
    <w:rPr>
      <w:sz w:val="20"/>
      <w:szCs w:val="20"/>
    </w:rPr>
    <w:tblPr>
      <w:tblCellMar>
        <w:left w:w="0" w:type="dxa"/>
        <w:top w:w="0" w:type="dxa"/>
        <w:right w:w="0" w:type="dxa"/>
        <w:bottom w:w="0" w:type="dxa"/>
      </w:tblCellMar>
    </w:tblPr>
  </w:style>
  <w:style w:type="table" w:styleId="941" w:customStyle="1">
    <w:name w:val="Grid Table 4 - Accent 3"/>
    <w:uiPriority w:val="99"/>
    <w:qFormat/>
    <w:rPr>
      <w:sz w:val="20"/>
      <w:szCs w:val="20"/>
    </w:rPr>
    <w:tblPr>
      <w:tblCellMar>
        <w:left w:w="0" w:type="dxa"/>
        <w:top w:w="0" w:type="dxa"/>
        <w:right w:w="0" w:type="dxa"/>
        <w:bottom w:w="0" w:type="dxa"/>
      </w:tblCellMar>
    </w:tblPr>
  </w:style>
  <w:style w:type="table" w:styleId="942" w:customStyle="1">
    <w:name w:val="Grid Table 4 - Accent 4"/>
    <w:uiPriority w:val="99"/>
    <w:qFormat/>
    <w:rPr>
      <w:sz w:val="20"/>
      <w:szCs w:val="20"/>
    </w:rPr>
    <w:tblPr>
      <w:tblCellMar>
        <w:left w:w="0" w:type="dxa"/>
        <w:top w:w="0" w:type="dxa"/>
        <w:right w:w="0" w:type="dxa"/>
        <w:bottom w:w="0" w:type="dxa"/>
      </w:tblCellMar>
    </w:tblPr>
  </w:style>
  <w:style w:type="table" w:styleId="943" w:customStyle="1">
    <w:name w:val="Grid Table 4 - Accent 5"/>
    <w:uiPriority w:val="99"/>
    <w:qFormat/>
    <w:rPr>
      <w:sz w:val="20"/>
      <w:szCs w:val="20"/>
    </w:rPr>
    <w:tblPr>
      <w:tblCellMar>
        <w:left w:w="0" w:type="dxa"/>
        <w:top w:w="0" w:type="dxa"/>
        <w:right w:w="0" w:type="dxa"/>
        <w:bottom w:w="0" w:type="dxa"/>
      </w:tblCellMar>
    </w:tblPr>
  </w:style>
  <w:style w:type="table" w:styleId="944" w:customStyle="1">
    <w:name w:val="Grid Table 4 - Accent 6"/>
    <w:uiPriority w:val="99"/>
    <w:qFormat/>
    <w:rPr>
      <w:sz w:val="20"/>
      <w:szCs w:val="20"/>
    </w:rPr>
    <w:tblPr>
      <w:tblCellMar>
        <w:left w:w="0" w:type="dxa"/>
        <w:top w:w="0" w:type="dxa"/>
        <w:right w:w="0" w:type="dxa"/>
        <w:bottom w:w="0" w:type="dxa"/>
      </w:tblCellMar>
    </w:tblPr>
  </w:style>
  <w:style w:type="table" w:styleId="945" w:customStyle="1">
    <w:name w:val="Grid Table 5 Dark"/>
    <w:uiPriority w:val="99"/>
    <w:qFormat/>
    <w:rPr>
      <w:sz w:val="20"/>
      <w:szCs w:val="20"/>
    </w:rPr>
    <w:tblPr>
      <w:tblCellMar>
        <w:left w:w="0" w:type="dxa"/>
        <w:top w:w="0" w:type="dxa"/>
        <w:right w:w="0" w:type="dxa"/>
        <w:bottom w:w="0" w:type="dxa"/>
      </w:tblCellMar>
    </w:tblPr>
  </w:style>
  <w:style w:type="table" w:styleId="946" w:customStyle="1">
    <w:name w:val="Grid Table 5 Dark- Accent 1"/>
    <w:uiPriority w:val="99"/>
    <w:qFormat/>
    <w:rPr>
      <w:sz w:val="20"/>
      <w:szCs w:val="20"/>
    </w:rPr>
    <w:tblPr>
      <w:tblCellMar>
        <w:left w:w="0" w:type="dxa"/>
        <w:top w:w="0" w:type="dxa"/>
        <w:right w:w="0" w:type="dxa"/>
        <w:bottom w:w="0" w:type="dxa"/>
      </w:tblCellMar>
    </w:tblPr>
  </w:style>
  <w:style w:type="table" w:styleId="947" w:customStyle="1">
    <w:name w:val="Grid Table 5 Dark - Accent 2"/>
    <w:uiPriority w:val="99"/>
    <w:qFormat/>
    <w:rPr>
      <w:sz w:val="20"/>
      <w:szCs w:val="20"/>
    </w:rPr>
    <w:tblPr>
      <w:tblCellMar>
        <w:left w:w="0" w:type="dxa"/>
        <w:top w:w="0" w:type="dxa"/>
        <w:right w:w="0" w:type="dxa"/>
        <w:bottom w:w="0" w:type="dxa"/>
      </w:tblCellMar>
    </w:tblPr>
  </w:style>
  <w:style w:type="table" w:styleId="948" w:customStyle="1">
    <w:name w:val="Grid Table 5 Dark - Accent 3"/>
    <w:uiPriority w:val="99"/>
    <w:qFormat/>
    <w:rPr>
      <w:sz w:val="20"/>
      <w:szCs w:val="20"/>
    </w:rPr>
    <w:tblPr>
      <w:tblCellMar>
        <w:left w:w="0" w:type="dxa"/>
        <w:top w:w="0" w:type="dxa"/>
        <w:right w:w="0" w:type="dxa"/>
        <w:bottom w:w="0" w:type="dxa"/>
      </w:tblCellMar>
    </w:tblPr>
  </w:style>
  <w:style w:type="table" w:styleId="949" w:customStyle="1">
    <w:name w:val="Grid Table 5 Dark- Accent 4"/>
    <w:uiPriority w:val="99"/>
    <w:qFormat/>
    <w:rPr>
      <w:sz w:val="20"/>
      <w:szCs w:val="20"/>
    </w:rPr>
    <w:tblPr>
      <w:tblCellMar>
        <w:left w:w="0" w:type="dxa"/>
        <w:top w:w="0" w:type="dxa"/>
        <w:right w:w="0" w:type="dxa"/>
        <w:bottom w:w="0" w:type="dxa"/>
      </w:tblCellMar>
    </w:tblPr>
  </w:style>
  <w:style w:type="table" w:styleId="950" w:customStyle="1">
    <w:name w:val="Grid Table 5 Dark - Accent 5"/>
    <w:uiPriority w:val="99"/>
    <w:qFormat/>
    <w:rPr>
      <w:sz w:val="20"/>
      <w:szCs w:val="20"/>
    </w:rPr>
    <w:tblPr>
      <w:tblCellMar>
        <w:left w:w="0" w:type="dxa"/>
        <w:top w:w="0" w:type="dxa"/>
        <w:right w:w="0" w:type="dxa"/>
        <w:bottom w:w="0" w:type="dxa"/>
      </w:tblCellMar>
    </w:tblPr>
  </w:style>
  <w:style w:type="table" w:styleId="951" w:customStyle="1">
    <w:name w:val="Grid Table 5 Dark - Accent 6"/>
    <w:uiPriority w:val="99"/>
    <w:qFormat/>
    <w:rPr>
      <w:sz w:val="20"/>
      <w:szCs w:val="20"/>
    </w:rPr>
    <w:tblPr>
      <w:tblCellMar>
        <w:left w:w="0" w:type="dxa"/>
        <w:top w:w="0" w:type="dxa"/>
        <w:right w:w="0" w:type="dxa"/>
        <w:bottom w:w="0" w:type="dxa"/>
      </w:tblCellMar>
    </w:tblPr>
  </w:style>
  <w:style w:type="table" w:styleId="952" w:customStyle="1">
    <w:name w:val="Grid Table 6 Colorful"/>
    <w:uiPriority w:val="99"/>
    <w:qFormat/>
    <w:rPr>
      <w:sz w:val="20"/>
      <w:szCs w:val="20"/>
    </w:rPr>
    <w:tblPr>
      <w:tblCellMar>
        <w:left w:w="0" w:type="dxa"/>
        <w:top w:w="0" w:type="dxa"/>
        <w:right w:w="0" w:type="dxa"/>
        <w:bottom w:w="0" w:type="dxa"/>
      </w:tblCellMar>
    </w:tblPr>
  </w:style>
  <w:style w:type="table" w:styleId="953" w:customStyle="1">
    <w:name w:val="Grid Table 6 Colorful - Accent 1"/>
    <w:uiPriority w:val="99"/>
    <w:qFormat/>
    <w:rPr>
      <w:sz w:val="20"/>
      <w:szCs w:val="20"/>
    </w:rPr>
    <w:tblPr>
      <w:tblCellMar>
        <w:left w:w="0" w:type="dxa"/>
        <w:top w:w="0" w:type="dxa"/>
        <w:right w:w="0" w:type="dxa"/>
        <w:bottom w:w="0" w:type="dxa"/>
      </w:tblCellMar>
    </w:tblPr>
  </w:style>
  <w:style w:type="table" w:styleId="954" w:customStyle="1">
    <w:name w:val="Grid Table 6 Colorful - Accent 2"/>
    <w:uiPriority w:val="99"/>
    <w:qFormat/>
    <w:rPr>
      <w:sz w:val="20"/>
      <w:szCs w:val="20"/>
    </w:rPr>
    <w:tblPr>
      <w:tblCellMar>
        <w:left w:w="0" w:type="dxa"/>
        <w:top w:w="0" w:type="dxa"/>
        <w:right w:w="0" w:type="dxa"/>
        <w:bottom w:w="0" w:type="dxa"/>
      </w:tblCellMar>
    </w:tblPr>
  </w:style>
  <w:style w:type="table" w:styleId="955" w:customStyle="1">
    <w:name w:val="Grid Table 6 Colorful - Accent 3"/>
    <w:uiPriority w:val="99"/>
    <w:qFormat/>
    <w:rPr>
      <w:sz w:val="20"/>
      <w:szCs w:val="20"/>
    </w:rPr>
    <w:tblPr>
      <w:tblCellMar>
        <w:left w:w="0" w:type="dxa"/>
        <w:top w:w="0" w:type="dxa"/>
        <w:right w:w="0" w:type="dxa"/>
        <w:bottom w:w="0" w:type="dxa"/>
      </w:tblCellMar>
    </w:tblPr>
  </w:style>
  <w:style w:type="table" w:styleId="956" w:customStyle="1">
    <w:name w:val="Grid Table 6 Colorful - Accent 4"/>
    <w:uiPriority w:val="99"/>
    <w:qFormat/>
    <w:rPr>
      <w:sz w:val="20"/>
      <w:szCs w:val="20"/>
    </w:rPr>
    <w:tblPr>
      <w:tblCellMar>
        <w:left w:w="0" w:type="dxa"/>
        <w:top w:w="0" w:type="dxa"/>
        <w:right w:w="0" w:type="dxa"/>
        <w:bottom w:w="0" w:type="dxa"/>
      </w:tblCellMar>
    </w:tblPr>
  </w:style>
  <w:style w:type="table" w:styleId="957" w:customStyle="1">
    <w:name w:val="Grid Table 6 Colorful - Accent 5"/>
    <w:uiPriority w:val="99"/>
    <w:qFormat/>
    <w:rPr>
      <w:sz w:val="20"/>
      <w:szCs w:val="20"/>
    </w:rPr>
    <w:tblPr>
      <w:tblCellMar>
        <w:left w:w="0" w:type="dxa"/>
        <w:top w:w="0" w:type="dxa"/>
        <w:right w:w="0" w:type="dxa"/>
        <w:bottom w:w="0" w:type="dxa"/>
      </w:tblCellMar>
    </w:tblPr>
  </w:style>
  <w:style w:type="table" w:styleId="958" w:customStyle="1">
    <w:name w:val="Grid Table 6 Colorful - Accent 6"/>
    <w:uiPriority w:val="99"/>
    <w:qFormat/>
    <w:rPr>
      <w:sz w:val="20"/>
      <w:szCs w:val="20"/>
    </w:rPr>
    <w:tblPr>
      <w:tblCellMar>
        <w:left w:w="0" w:type="dxa"/>
        <w:top w:w="0" w:type="dxa"/>
        <w:right w:w="0" w:type="dxa"/>
        <w:bottom w:w="0" w:type="dxa"/>
      </w:tblCellMar>
    </w:tblPr>
  </w:style>
  <w:style w:type="table" w:styleId="959" w:customStyle="1">
    <w:name w:val="Grid Table 7 Colorful"/>
    <w:uiPriority w:val="99"/>
    <w:qFormat/>
    <w:rPr>
      <w:sz w:val="20"/>
      <w:szCs w:val="20"/>
    </w:rPr>
    <w:tblPr>
      <w:tblCellMar>
        <w:left w:w="0" w:type="dxa"/>
        <w:top w:w="0" w:type="dxa"/>
        <w:right w:w="0" w:type="dxa"/>
        <w:bottom w:w="0" w:type="dxa"/>
      </w:tblCellMar>
    </w:tblPr>
  </w:style>
  <w:style w:type="table" w:styleId="960" w:customStyle="1">
    <w:name w:val="Grid Table 7 Colorful - Accent 1"/>
    <w:uiPriority w:val="99"/>
    <w:qFormat/>
    <w:rPr>
      <w:sz w:val="20"/>
      <w:szCs w:val="20"/>
    </w:rPr>
    <w:tblPr>
      <w:tblCellMar>
        <w:left w:w="0" w:type="dxa"/>
        <w:top w:w="0" w:type="dxa"/>
        <w:right w:w="0" w:type="dxa"/>
        <w:bottom w:w="0" w:type="dxa"/>
      </w:tblCellMar>
    </w:tblPr>
  </w:style>
  <w:style w:type="table" w:styleId="961" w:customStyle="1">
    <w:name w:val="Grid Table 7 Colorful - Accent 2"/>
    <w:uiPriority w:val="99"/>
    <w:qFormat/>
    <w:rPr>
      <w:sz w:val="20"/>
      <w:szCs w:val="20"/>
    </w:rPr>
    <w:tblPr>
      <w:tblCellMar>
        <w:left w:w="0" w:type="dxa"/>
        <w:top w:w="0" w:type="dxa"/>
        <w:right w:w="0" w:type="dxa"/>
        <w:bottom w:w="0" w:type="dxa"/>
      </w:tblCellMar>
    </w:tblPr>
  </w:style>
  <w:style w:type="table" w:styleId="962" w:customStyle="1">
    <w:name w:val="Grid Table 7 Colorful - Accent 3"/>
    <w:uiPriority w:val="99"/>
    <w:qFormat/>
    <w:rPr>
      <w:sz w:val="20"/>
      <w:szCs w:val="20"/>
    </w:rPr>
    <w:tblPr>
      <w:tblCellMar>
        <w:left w:w="0" w:type="dxa"/>
        <w:top w:w="0" w:type="dxa"/>
        <w:right w:w="0" w:type="dxa"/>
        <w:bottom w:w="0" w:type="dxa"/>
      </w:tblCellMar>
    </w:tblPr>
  </w:style>
  <w:style w:type="table" w:styleId="963" w:customStyle="1">
    <w:name w:val="Grid Table 7 Colorful - Accent 4"/>
    <w:uiPriority w:val="99"/>
    <w:qFormat/>
    <w:rPr>
      <w:sz w:val="20"/>
      <w:szCs w:val="20"/>
    </w:rPr>
    <w:tblPr>
      <w:tblCellMar>
        <w:left w:w="0" w:type="dxa"/>
        <w:top w:w="0" w:type="dxa"/>
        <w:right w:w="0" w:type="dxa"/>
        <w:bottom w:w="0" w:type="dxa"/>
      </w:tblCellMar>
    </w:tblPr>
  </w:style>
  <w:style w:type="table" w:styleId="964" w:customStyle="1">
    <w:name w:val="Grid Table 7 Colorful - Accent 5"/>
    <w:uiPriority w:val="99"/>
    <w:qFormat/>
    <w:rPr>
      <w:sz w:val="20"/>
      <w:szCs w:val="20"/>
    </w:rPr>
    <w:tblPr>
      <w:tblCellMar>
        <w:left w:w="0" w:type="dxa"/>
        <w:top w:w="0" w:type="dxa"/>
        <w:right w:w="0" w:type="dxa"/>
        <w:bottom w:w="0" w:type="dxa"/>
      </w:tblCellMar>
    </w:tblPr>
  </w:style>
  <w:style w:type="table" w:styleId="965" w:customStyle="1">
    <w:name w:val="Grid Table 7 Colorful - Accent 6"/>
    <w:uiPriority w:val="99"/>
    <w:qFormat/>
    <w:rPr>
      <w:sz w:val="20"/>
      <w:szCs w:val="20"/>
    </w:rPr>
    <w:tblPr>
      <w:tblCellMar>
        <w:left w:w="0" w:type="dxa"/>
        <w:top w:w="0" w:type="dxa"/>
        <w:right w:w="0" w:type="dxa"/>
        <w:bottom w:w="0" w:type="dxa"/>
      </w:tblCellMar>
    </w:tblPr>
  </w:style>
  <w:style w:type="table" w:styleId="966" w:customStyle="1">
    <w:name w:val="List Table 1 Light"/>
    <w:uiPriority w:val="99"/>
    <w:qFormat/>
    <w:rPr>
      <w:sz w:val="20"/>
      <w:szCs w:val="20"/>
    </w:rPr>
    <w:tblPr>
      <w:tblCellMar>
        <w:left w:w="0" w:type="dxa"/>
        <w:top w:w="0" w:type="dxa"/>
        <w:right w:w="0" w:type="dxa"/>
        <w:bottom w:w="0" w:type="dxa"/>
      </w:tblCellMar>
    </w:tblPr>
  </w:style>
  <w:style w:type="table" w:styleId="967" w:customStyle="1">
    <w:name w:val="List Table 1 Light - Accent 1"/>
    <w:uiPriority w:val="99"/>
    <w:qFormat/>
    <w:rPr>
      <w:sz w:val="20"/>
      <w:szCs w:val="20"/>
    </w:rPr>
    <w:tblPr>
      <w:tblCellMar>
        <w:left w:w="0" w:type="dxa"/>
        <w:top w:w="0" w:type="dxa"/>
        <w:right w:w="0" w:type="dxa"/>
        <w:bottom w:w="0" w:type="dxa"/>
      </w:tblCellMar>
    </w:tblPr>
  </w:style>
  <w:style w:type="table" w:styleId="968" w:customStyle="1">
    <w:name w:val="List Table 1 Light - Accent 2"/>
    <w:uiPriority w:val="99"/>
    <w:qFormat/>
    <w:rPr>
      <w:sz w:val="20"/>
      <w:szCs w:val="20"/>
    </w:rPr>
    <w:tblPr>
      <w:tblCellMar>
        <w:left w:w="0" w:type="dxa"/>
        <w:top w:w="0" w:type="dxa"/>
        <w:right w:w="0" w:type="dxa"/>
        <w:bottom w:w="0" w:type="dxa"/>
      </w:tblCellMar>
    </w:tblPr>
  </w:style>
  <w:style w:type="table" w:styleId="969" w:customStyle="1">
    <w:name w:val="List Table 1 Light - Accent 3"/>
    <w:uiPriority w:val="99"/>
    <w:qFormat/>
    <w:rPr>
      <w:sz w:val="20"/>
      <w:szCs w:val="20"/>
    </w:rPr>
    <w:tblPr>
      <w:tblCellMar>
        <w:left w:w="0" w:type="dxa"/>
        <w:top w:w="0" w:type="dxa"/>
        <w:right w:w="0" w:type="dxa"/>
        <w:bottom w:w="0" w:type="dxa"/>
      </w:tblCellMar>
    </w:tblPr>
  </w:style>
  <w:style w:type="table" w:styleId="970" w:customStyle="1">
    <w:name w:val="List Table 1 Light - Accent 4"/>
    <w:uiPriority w:val="99"/>
    <w:qFormat/>
    <w:rPr>
      <w:sz w:val="20"/>
      <w:szCs w:val="20"/>
    </w:rPr>
    <w:tblPr>
      <w:tblCellMar>
        <w:left w:w="0" w:type="dxa"/>
        <w:top w:w="0" w:type="dxa"/>
        <w:right w:w="0" w:type="dxa"/>
        <w:bottom w:w="0" w:type="dxa"/>
      </w:tblCellMar>
    </w:tblPr>
  </w:style>
  <w:style w:type="table" w:styleId="971" w:customStyle="1">
    <w:name w:val="List Table 1 Light - Accent 5"/>
    <w:uiPriority w:val="99"/>
    <w:qFormat/>
    <w:rPr>
      <w:sz w:val="20"/>
      <w:szCs w:val="20"/>
    </w:rPr>
    <w:tblPr>
      <w:tblCellMar>
        <w:left w:w="0" w:type="dxa"/>
        <w:top w:w="0" w:type="dxa"/>
        <w:right w:w="0" w:type="dxa"/>
        <w:bottom w:w="0" w:type="dxa"/>
      </w:tblCellMar>
    </w:tblPr>
  </w:style>
  <w:style w:type="table" w:styleId="972" w:customStyle="1">
    <w:name w:val="List Table 1 Light - Accent 6"/>
    <w:uiPriority w:val="99"/>
    <w:qFormat/>
    <w:rPr>
      <w:sz w:val="20"/>
      <w:szCs w:val="20"/>
    </w:rPr>
    <w:tblPr>
      <w:tblCellMar>
        <w:left w:w="0" w:type="dxa"/>
        <w:top w:w="0" w:type="dxa"/>
        <w:right w:w="0" w:type="dxa"/>
        <w:bottom w:w="0" w:type="dxa"/>
      </w:tblCellMar>
    </w:tblPr>
  </w:style>
  <w:style w:type="table" w:styleId="973" w:customStyle="1">
    <w:name w:val="List Table 2"/>
    <w:uiPriority w:val="99"/>
    <w:qFormat/>
    <w:rPr>
      <w:sz w:val="20"/>
      <w:szCs w:val="20"/>
    </w:rPr>
    <w:tblPr>
      <w:tblCellMar>
        <w:left w:w="0" w:type="dxa"/>
        <w:top w:w="0" w:type="dxa"/>
        <w:right w:w="0" w:type="dxa"/>
        <w:bottom w:w="0" w:type="dxa"/>
      </w:tblCellMar>
    </w:tblPr>
  </w:style>
  <w:style w:type="table" w:styleId="974" w:customStyle="1">
    <w:name w:val="List Table 2 - Accent 1"/>
    <w:uiPriority w:val="99"/>
    <w:qFormat/>
    <w:rPr>
      <w:sz w:val="20"/>
      <w:szCs w:val="20"/>
    </w:rPr>
    <w:tblPr>
      <w:tblCellMar>
        <w:left w:w="0" w:type="dxa"/>
        <w:top w:w="0" w:type="dxa"/>
        <w:right w:w="0" w:type="dxa"/>
        <w:bottom w:w="0" w:type="dxa"/>
      </w:tblCellMar>
    </w:tblPr>
  </w:style>
  <w:style w:type="table" w:styleId="975" w:customStyle="1">
    <w:name w:val="List Table 2 - Accent 2"/>
    <w:uiPriority w:val="99"/>
    <w:qFormat/>
    <w:rPr>
      <w:sz w:val="20"/>
      <w:szCs w:val="20"/>
    </w:rPr>
    <w:tblPr>
      <w:tblCellMar>
        <w:left w:w="0" w:type="dxa"/>
        <w:top w:w="0" w:type="dxa"/>
        <w:right w:w="0" w:type="dxa"/>
        <w:bottom w:w="0" w:type="dxa"/>
      </w:tblCellMar>
    </w:tblPr>
  </w:style>
  <w:style w:type="table" w:styleId="976" w:customStyle="1">
    <w:name w:val="List Table 2 - Accent 3"/>
    <w:uiPriority w:val="99"/>
    <w:qFormat/>
    <w:rPr>
      <w:sz w:val="20"/>
      <w:szCs w:val="20"/>
    </w:rPr>
    <w:tblPr>
      <w:tblCellMar>
        <w:left w:w="0" w:type="dxa"/>
        <w:top w:w="0" w:type="dxa"/>
        <w:right w:w="0" w:type="dxa"/>
        <w:bottom w:w="0" w:type="dxa"/>
      </w:tblCellMar>
    </w:tblPr>
  </w:style>
  <w:style w:type="table" w:styleId="977" w:customStyle="1">
    <w:name w:val="List Table 2 - Accent 4"/>
    <w:uiPriority w:val="99"/>
    <w:qFormat/>
    <w:rPr>
      <w:sz w:val="20"/>
      <w:szCs w:val="20"/>
    </w:rPr>
    <w:tblPr>
      <w:tblCellMar>
        <w:left w:w="0" w:type="dxa"/>
        <w:top w:w="0" w:type="dxa"/>
        <w:right w:w="0" w:type="dxa"/>
        <w:bottom w:w="0" w:type="dxa"/>
      </w:tblCellMar>
    </w:tblPr>
  </w:style>
  <w:style w:type="table" w:styleId="978" w:customStyle="1">
    <w:name w:val="List Table 2 - Accent 5"/>
    <w:uiPriority w:val="99"/>
    <w:qFormat/>
    <w:rPr>
      <w:sz w:val="20"/>
      <w:szCs w:val="20"/>
    </w:rPr>
    <w:tblPr>
      <w:tblCellMar>
        <w:left w:w="0" w:type="dxa"/>
        <w:top w:w="0" w:type="dxa"/>
        <w:right w:w="0" w:type="dxa"/>
        <w:bottom w:w="0" w:type="dxa"/>
      </w:tblCellMar>
    </w:tblPr>
  </w:style>
  <w:style w:type="table" w:styleId="979" w:customStyle="1">
    <w:name w:val="List Table 2 - Accent 6"/>
    <w:uiPriority w:val="99"/>
    <w:qFormat/>
    <w:rPr>
      <w:sz w:val="20"/>
      <w:szCs w:val="20"/>
    </w:rPr>
    <w:tblPr>
      <w:tblCellMar>
        <w:left w:w="0" w:type="dxa"/>
        <w:top w:w="0" w:type="dxa"/>
        <w:right w:w="0" w:type="dxa"/>
        <w:bottom w:w="0" w:type="dxa"/>
      </w:tblCellMar>
    </w:tblPr>
  </w:style>
  <w:style w:type="table" w:styleId="980" w:customStyle="1">
    <w:name w:val="List Table 3"/>
    <w:uiPriority w:val="99"/>
    <w:qFormat/>
    <w:rPr>
      <w:sz w:val="20"/>
      <w:szCs w:val="20"/>
    </w:rPr>
    <w:tblPr>
      <w:tblCellMar>
        <w:left w:w="0" w:type="dxa"/>
        <w:top w:w="0" w:type="dxa"/>
        <w:right w:w="0" w:type="dxa"/>
        <w:bottom w:w="0" w:type="dxa"/>
      </w:tblCellMar>
    </w:tblPr>
  </w:style>
  <w:style w:type="table" w:styleId="981" w:customStyle="1">
    <w:name w:val="List Table 3 - Accent 1"/>
    <w:uiPriority w:val="99"/>
    <w:qFormat/>
    <w:rPr>
      <w:sz w:val="20"/>
      <w:szCs w:val="20"/>
    </w:rPr>
    <w:tblPr>
      <w:tblCellMar>
        <w:left w:w="0" w:type="dxa"/>
        <w:top w:w="0" w:type="dxa"/>
        <w:right w:w="0" w:type="dxa"/>
        <w:bottom w:w="0" w:type="dxa"/>
      </w:tblCellMar>
    </w:tblPr>
  </w:style>
  <w:style w:type="table" w:styleId="982" w:customStyle="1">
    <w:name w:val="List Table 3 - Accent 2"/>
    <w:uiPriority w:val="99"/>
    <w:qFormat/>
    <w:rPr>
      <w:sz w:val="20"/>
      <w:szCs w:val="20"/>
    </w:rPr>
    <w:tblPr>
      <w:tblCellMar>
        <w:left w:w="0" w:type="dxa"/>
        <w:top w:w="0" w:type="dxa"/>
        <w:right w:w="0" w:type="dxa"/>
        <w:bottom w:w="0" w:type="dxa"/>
      </w:tblCellMar>
    </w:tblPr>
  </w:style>
  <w:style w:type="table" w:styleId="983" w:customStyle="1">
    <w:name w:val="List Table 3 - Accent 3"/>
    <w:uiPriority w:val="99"/>
    <w:qFormat/>
    <w:rPr>
      <w:sz w:val="20"/>
      <w:szCs w:val="20"/>
    </w:rPr>
    <w:tblPr>
      <w:tblCellMar>
        <w:left w:w="0" w:type="dxa"/>
        <w:top w:w="0" w:type="dxa"/>
        <w:right w:w="0" w:type="dxa"/>
        <w:bottom w:w="0" w:type="dxa"/>
      </w:tblCellMar>
    </w:tblPr>
  </w:style>
  <w:style w:type="table" w:styleId="984" w:customStyle="1">
    <w:name w:val="List Table 3 - Accent 4"/>
    <w:uiPriority w:val="99"/>
    <w:qFormat/>
    <w:rPr>
      <w:sz w:val="20"/>
      <w:szCs w:val="20"/>
    </w:rPr>
    <w:tblPr>
      <w:tblCellMar>
        <w:left w:w="0" w:type="dxa"/>
        <w:top w:w="0" w:type="dxa"/>
        <w:right w:w="0" w:type="dxa"/>
        <w:bottom w:w="0" w:type="dxa"/>
      </w:tblCellMar>
    </w:tblPr>
  </w:style>
  <w:style w:type="table" w:styleId="985" w:customStyle="1">
    <w:name w:val="List Table 3 - Accent 5"/>
    <w:uiPriority w:val="99"/>
    <w:qFormat/>
    <w:rPr>
      <w:sz w:val="20"/>
      <w:szCs w:val="20"/>
    </w:rPr>
    <w:tblPr>
      <w:tblCellMar>
        <w:left w:w="0" w:type="dxa"/>
        <w:top w:w="0" w:type="dxa"/>
        <w:right w:w="0" w:type="dxa"/>
        <w:bottom w:w="0" w:type="dxa"/>
      </w:tblCellMar>
    </w:tblPr>
  </w:style>
  <w:style w:type="table" w:styleId="986" w:customStyle="1">
    <w:name w:val="List Table 3 - Accent 6"/>
    <w:uiPriority w:val="99"/>
    <w:qFormat/>
    <w:rPr>
      <w:sz w:val="20"/>
      <w:szCs w:val="20"/>
    </w:rPr>
    <w:tblPr>
      <w:tblCellMar>
        <w:left w:w="0" w:type="dxa"/>
        <w:top w:w="0" w:type="dxa"/>
        <w:right w:w="0" w:type="dxa"/>
        <w:bottom w:w="0" w:type="dxa"/>
      </w:tblCellMar>
    </w:tblPr>
  </w:style>
  <w:style w:type="table" w:styleId="987" w:customStyle="1">
    <w:name w:val="List Table 4"/>
    <w:uiPriority w:val="99"/>
    <w:qFormat/>
    <w:rPr>
      <w:sz w:val="20"/>
      <w:szCs w:val="20"/>
    </w:rPr>
    <w:tblPr>
      <w:tblCellMar>
        <w:left w:w="0" w:type="dxa"/>
        <w:top w:w="0" w:type="dxa"/>
        <w:right w:w="0" w:type="dxa"/>
        <w:bottom w:w="0" w:type="dxa"/>
      </w:tblCellMar>
    </w:tblPr>
  </w:style>
  <w:style w:type="table" w:styleId="988" w:customStyle="1">
    <w:name w:val="List Table 4 - Accent 1"/>
    <w:uiPriority w:val="99"/>
    <w:qFormat/>
    <w:rPr>
      <w:sz w:val="20"/>
      <w:szCs w:val="20"/>
    </w:rPr>
    <w:tblPr>
      <w:tblCellMar>
        <w:left w:w="0" w:type="dxa"/>
        <w:top w:w="0" w:type="dxa"/>
        <w:right w:w="0" w:type="dxa"/>
        <w:bottom w:w="0" w:type="dxa"/>
      </w:tblCellMar>
    </w:tblPr>
  </w:style>
  <w:style w:type="table" w:styleId="989" w:customStyle="1">
    <w:name w:val="List Table 4 - Accent 2"/>
    <w:uiPriority w:val="99"/>
    <w:qFormat/>
    <w:rPr>
      <w:sz w:val="20"/>
      <w:szCs w:val="20"/>
    </w:rPr>
    <w:tblPr>
      <w:tblCellMar>
        <w:left w:w="0" w:type="dxa"/>
        <w:top w:w="0" w:type="dxa"/>
        <w:right w:w="0" w:type="dxa"/>
        <w:bottom w:w="0" w:type="dxa"/>
      </w:tblCellMar>
    </w:tblPr>
  </w:style>
  <w:style w:type="table" w:styleId="990" w:customStyle="1">
    <w:name w:val="List Table 4 - Accent 3"/>
    <w:uiPriority w:val="99"/>
    <w:qFormat/>
    <w:rPr>
      <w:sz w:val="20"/>
      <w:szCs w:val="20"/>
    </w:rPr>
    <w:tblPr>
      <w:tblCellMar>
        <w:left w:w="0" w:type="dxa"/>
        <w:top w:w="0" w:type="dxa"/>
        <w:right w:w="0" w:type="dxa"/>
        <w:bottom w:w="0" w:type="dxa"/>
      </w:tblCellMar>
    </w:tblPr>
  </w:style>
  <w:style w:type="table" w:styleId="991" w:customStyle="1">
    <w:name w:val="List Table 4 - Accent 4"/>
    <w:uiPriority w:val="99"/>
    <w:qFormat/>
    <w:rPr>
      <w:sz w:val="20"/>
      <w:szCs w:val="20"/>
    </w:rPr>
    <w:tblPr>
      <w:tblCellMar>
        <w:left w:w="0" w:type="dxa"/>
        <w:top w:w="0" w:type="dxa"/>
        <w:right w:w="0" w:type="dxa"/>
        <w:bottom w:w="0" w:type="dxa"/>
      </w:tblCellMar>
    </w:tblPr>
  </w:style>
  <w:style w:type="table" w:styleId="992" w:customStyle="1">
    <w:name w:val="List Table 4 - Accent 5"/>
    <w:uiPriority w:val="99"/>
    <w:qFormat/>
    <w:rPr>
      <w:sz w:val="20"/>
      <w:szCs w:val="20"/>
    </w:rPr>
    <w:tblPr>
      <w:tblCellMar>
        <w:left w:w="0" w:type="dxa"/>
        <w:top w:w="0" w:type="dxa"/>
        <w:right w:w="0" w:type="dxa"/>
        <w:bottom w:w="0" w:type="dxa"/>
      </w:tblCellMar>
    </w:tblPr>
  </w:style>
  <w:style w:type="table" w:styleId="993" w:customStyle="1">
    <w:name w:val="List Table 4 - Accent 6"/>
    <w:uiPriority w:val="99"/>
    <w:qFormat/>
    <w:rPr>
      <w:sz w:val="20"/>
      <w:szCs w:val="20"/>
    </w:rPr>
    <w:tblPr>
      <w:tblCellMar>
        <w:left w:w="0" w:type="dxa"/>
        <w:top w:w="0" w:type="dxa"/>
        <w:right w:w="0" w:type="dxa"/>
        <w:bottom w:w="0" w:type="dxa"/>
      </w:tblCellMar>
    </w:tblPr>
  </w:style>
  <w:style w:type="table" w:styleId="994" w:customStyle="1">
    <w:name w:val="List Table 5 Dark"/>
    <w:uiPriority w:val="99"/>
    <w:qFormat/>
    <w:rPr>
      <w:sz w:val="20"/>
      <w:szCs w:val="20"/>
    </w:rPr>
    <w:tblPr>
      <w:tblCellMar>
        <w:left w:w="0" w:type="dxa"/>
        <w:top w:w="0" w:type="dxa"/>
        <w:right w:w="0" w:type="dxa"/>
        <w:bottom w:w="0" w:type="dxa"/>
      </w:tblCellMar>
    </w:tblPr>
  </w:style>
  <w:style w:type="table" w:styleId="995" w:customStyle="1">
    <w:name w:val="List Table 5 Dark - Accent 1"/>
    <w:uiPriority w:val="99"/>
    <w:qFormat/>
    <w:rPr>
      <w:sz w:val="20"/>
      <w:szCs w:val="20"/>
    </w:rPr>
    <w:tblPr>
      <w:tblCellMar>
        <w:left w:w="0" w:type="dxa"/>
        <w:top w:w="0" w:type="dxa"/>
        <w:right w:w="0" w:type="dxa"/>
        <w:bottom w:w="0" w:type="dxa"/>
      </w:tblCellMar>
    </w:tblPr>
  </w:style>
  <w:style w:type="table" w:styleId="996" w:customStyle="1">
    <w:name w:val="List Table 5 Dark - Accent 2"/>
    <w:uiPriority w:val="99"/>
    <w:qFormat/>
    <w:rPr>
      <w:sz w:val="20"/>
      <w:szCs w:val="20"/>
    </w:rPr>
    <w:tblPr>
      <w:tblCellMar>
        <w:left w:w="0" w:type="dxa"/>
        <w:top w:w="0" w:type="dxa"/>
        <w:right w:w="0" w:type="dxa"/>
        <w:bottom w:w="0" w:type="dxa"/>
      </w:tblCellMar>
    </w:tblPr>
  </w:style>
  <w:style w:type="table" w:styleId="997" w:customStyle="1">
    <w:name w:val="List Table 5 Dark - Accent 3"/>
    <w:uiPriority w:val="99"/>
    <w:qFormat/>
    <w:rPr>
      <w:sz w:val="20"/>
      <w:szCs w:val="20"/>
    </w:rPr>
    <w:tblPr>
      <w:tblCellMar>
        <w:left w:w="0" w:type="dxa"/>
        <w:top w:w="0" w:type="dxa"/>
        <w:right w:w="0" w:type="dxa"/>
        <w:bottom w:w="0" w:type="dxa"/>
      </w:tblCellMar>
    </w:tblPr>
  </w:style>
  <w:style w:type="table" w:styleId="998" w:customStyle="1">
    <w:name w:val="List Table 5 Dark - Accent 4"/>
    <w:uiPriority w:val="99"/>
    <w:qFormat/>
    <w:rPr>
      <w:sz w:val="20"/>
      <w:szCs w:val="20"/>
    </w:rPr>
    <w:tblPr>
      <w:tblCellMar>
        <w:left w:w="0" w:type="dxa"/>
        <w:top w:w="0" w:type="dxa"/>
        <w:right w:w="0" w:type="dxa"/>
        <w:bottom w:w="0" w:type="dxa"/>
      </w:tblCellMar>
    </w:tblPr>
  </w:style>
  <w:style w:type="table" w:styleId="999" w:customStyle="1">
    <w:name w:val="List Table 5 Dark - Accent 5"/>
    <w:uiPriority w:val="99"/>
    <w:qFormat/>
    <w:rPr>
      <w:sz w:val="20"/>
      <w:szCs w:val="20"/>
    </w:rPr>
    <w:tblPr>
      <w:tblCellMar>
        <w:left w:w="0" w:type="dxa"/>
        <w:top w:w="0" w:type="dxa"/>
        <w:right w:w="0" w:type="dxa"/>
        <w:bottom w:w="0" w:type="dxa"/>
      </w:tblCellMar>
    </w:tblPr>
  </w:style>
  <w:style w:type="table" w:styleId="1000" w:customStyle="1">
    <w:name w:val="List Table 5 Dark - Accent 6"/>
    <w:uiPriority w:val="99"/>
    <w:qFormat/>
    <w:rPr>
      <w:sz w:val="20"/>
      <w:szCs w:val="20"/>
    </w:rPr>
    <w:tblPr>
      <w:tblCellMar>
        <w:left w:w="0" w:type="dxa"/>
        <w:top w:w="0" w:type="dxa"/>
        <w:right w:w="0" w:type="dxa"/>
        <w:bottom w:w="0" w:type="dxa"/>
      </w:tblCellMar>
    </w:tblPr>
  </w:style>
  <w:style w:type="table" w:styleId="1001" w:customStyle="1">
    <w:name w:val="List Table 6 Colorful"/>
    <w:uiPriority w:val="99"/>
    <w:qFormat/>
    <w:rPr>
      <w:sz w:val="20"/>
      <w:szCs w:val="20"/>
    </w:rPr>
    <w:tblPr>
      <w:tblCellMar>
        <w:left w:w="0" w:type="dxa"/>
        <w:top w:w="0" w:type="dxa"/>
        <w:right w:w="0" w:type="dxa"/>
        <w:bottom w:w="0" w:type="dxa"/>
      </w:tblCellMar>
    </w:tblPr>
  </w:style>
  <w:style w:type="table" w:styleId="1002" w:customStyle="1">
    <w:name w:val="List Table 6 Colorful - Accent 1"/>
    <w:uiPriority w:val="99"/>
    <w:qFormat/>
    <w:rPr>
      <w:sz w:val="20"/>
      <w:szCs w:val="20"/>
    </w:rPr>
    <w:tblPr>
      <w:tblCellMar>
        <w:left w:w="0" w:type="dxa"/>
        <w:top w:w="0" w:type="dxa"/>
        <w:right w:w="0" w:type="dxa"/>
        <w:bottom w:w="0" w:type="dxa"/>
      </w:tblCellMar>
    </w:tblPr>
  </w:style>
  <w:style w:type="table" w:styleId="1003" w:customStyle="1">
    <w:name w:val="List Table 6 Colorful - Accent 2"/>
    <w:uiPriority w:val="99"/>
    <w:qFormat/>
    <w:rPr>
      <w:sz w:val="20"/>
      <w:szCs w:val="20"/>
    </w:rPr>
    <w:tblPr>
      <w:tblCellMar>
        <w:left w:w="0" w:type="dxa"/>
        <w:top w:w="0" w:type="dxa"/>
        <w:right w:w="0" w:type="dxa"/>
        <w:bottom w:w="0" w:type="dxa"/>
      </w:tblCellMar>
    </w:tblPr>
  </w:style>
  <w:style w:type="table" w:styleId="1004" w:customStyle="1">
    <w:name w:val="List Table 6 Colorful - Accent 3"/>
    <w:uiPriority w:val="99"/>
    <w:qFormat/>
    <w:rPr>
      <w:sz w:val="20"/>
      <w:szCs w:val="20"/>
    </w:rPr>
    <w:tblPr>
      <w:tblCellMar>
        <w:left w:w="0" w:type="dxa"/>
        <w:top w:w="0" w:type="dxa"/>
        <w:right w:w="0" w:type="dxa"/>
        <w:bottom w:w="0" w:type="dxa"/>
      </w:tblCellMar>
    </w:tblPr>
  </w:style>
  <w:style w:type="table" w:styleId="1005" w:customStyle="1">
    <w:name w:val="List Table 6 Colorful - Accent 4"/>
    <w:uiPriority w:val="99"/>
    <w:qFormat/>
    <w:rPr>
      <w:sz w:val="20"/>
      <w:szCs w:val="20"/>
    </w:rPr>
    <w:tblPr>
      <w:tblCellMar>
        <w:left w:w="0" w:type="dxa"/>
        <w:top w:w="0" w:type="dxa"/>
        <w:right w:w="0" w:type="dxa"/>
        <w:bottom w:w="0" w:type="dxa"/>
      </w:tblCellMar>
    </w:tblPr>
  </w:style>
  <w:style w:type="table" w:styleId="1006" w:customStyle="1">
    <w:name w:val="List Table 6 Colorful - Accent 5"/>
    <w:uiPriority w:val="99"/>
    <w:qFormat/>
    <w:rPr>
      <w:sz w:val="20"/>
      <w:szCs w:val="20"/>
    </w:rPr>
    <w:tblPr>
      <w:tblCellMar>
        <w:left w:w="0" w:type="dxa"/>
        <w:top w:w="0" w:type="dxa"/>
        <w:right w:w="0" w:type="dxa"/>
        <w:bottom w:w="0" w:type="dxa"/>
      </w:tblCellMar>
    </w:tblPr>
  </w:style>
  <w:style w:type="table" w:styleId="1007" w:customStyle="1">
    <w:name w:val="List Table 6 Colorful - Accent 6"/>
    <w:uiPriority w:val="99"/>
    <w:qFormat/>
    <w:rPr>
      <w:sz w:val="20"/>
      <w:szCs w:val="20"/>
    </w:rPr>
    <w:tblPr>
      <w:tblCellMar>
        <w:left w:w="0" w:type="dxa"/>
        <w:top w:w="0" w:type="dxa"/>
        <w:right w:w="0" w:type="dxa"/>
        <w:bottom w:w="0" w:type="dxa"/>
      </w:tblCellMar>
    </w:tblPr>
  </w:style>
  <w:style w:type="table" w:styleId="1008" w:customStyle="1">
    <w:name w:val="List Table 7 Colorful"/>
    <w:uiPriority w:val="99"/>
    <w:qFormat/>
    <w:rPr>
      <w:sz w:val="20"/>
      <w:szCs w:val="20"/>
    </w:rPr>
    <w:tblPr>
      <w:tblCellMar>
        <w:left w:w="0" w:type="dxa"/>
        <w:top w:w="0" w:type="dxa"/>
        <w:right w:w="0" w:type="dxa"/>
        <w:bottom w:w="0" w:type="dxa"/>
      </w:tblCellMar>
    </w:tblPr>
  </w:style>
  <w:style w:type="table" w:styleId="1009" w:customStyle="1">
    <w:name w:val="List Table 7 Colorful - Accent 1"/>
    <w:uiPriority w:val="99"/>
    <w:qFormat/>
    <w:rPr>
      <w:sz w:val="20"/>
      <w:szCs w:val="20"/>
    </w:rPr>
    <w:tblPr>
      <w:tblCellMar>
        <w:left w:w="0" w:type="dxa"/>
        <w:top w:w="0" w:type="dxa"/>
        <w:right w:w="0" w:type="dxa"/>
        <w:bottom w:w="0" w:type="dxa"/>
      </w:tblCellMar>
    </w:tblPr>
  </w:style>
  <w:style w:type="table" w:styleId="1010" w:customStyle="1">
    <w:name w:val="List Table 7 Colorful - Accent 2"/>
    <w:uiPriority w:val="99"/>
    <w:qFormat/>
    <w:rPr>
      <w:sz w:val="20"/>
      <w:szCs w:val="20"/>
    </w:rPr>
    <w:tblPr>
      <w:tblCellMar>
        <w:left w:w="0" w:type="dxa"/>
        <w:top w:w="0" w:type="dxa"/>
        <w:right w:w="0" w:type="dxa"/>
        <w:bottom w:w="0" w:type="dxa"/>
      </w:tblCellMar>
    </w:tblPr>
  </w:style>
  <w:style w:type="table" w:styleId="1011" w:customStyle="1">
    <w:name w:val="List Table 7 Colorful - Accent 3"/>
    <w:uiPriority w:val="99"/>
    <w:qFormat/>
    <w:rPr>
      <w:sz w:val="20"/>
      <w:szCs w:val="20"/>
    </w:rPr>
    <w:tblPr>
      <w:tblCellMar>
        <w:left w:w="0" w:type="dxa"/>
        <w:top w:w="0" w:type="dxa"/>
        <w:right w:w="0" w:type="dxa"/>
        <w:bottom w:w="0" w:type="dxa"/>
      </w:tblCellMar>
    </w:tblPr>
  </w:style>
  <w:style w:type="table" w:styleId="1012" w:customStyle="1">
    <w:name w:val="List Table 7 Colorful - Accent 4"/>
    <w:uiPriority w:val="99"/>
    <w:qFormat/>
    <w:rPr>
      <w:sz w:val="20"/>
      <w:szCs w:val="20"/>
    </w:rPr>
    <w:tblPr>
      <w:tblCellMar>
        <w:left w:w="0" w:type="dxa"/>
        <w:top w:w="0" w:type="dxa"/>
        <w:right w:w="0" w:type="dxa"/>
        <w:bottom w:w="0" w:type="dxa"/>
      </w:tblCellMar>
    </w:tblPr>
  </w:style>
  <w:style w:type="table" w:styleId="1013" w:customStyle="1">
    <w:name w:val="List Table 7 Colorful - Accent 5"/>
    <w:uiPriority w:val="99"/>
    <w:qFormat/>
    <w:rPr>
      <w:sz w:val="20"/>
      <w:szCs w:val="20"/>
    </w:rPr>
    <w:tblPr>
      <w:tblCellMar>
        <w:left w:w="0" w:type="dxa"/>
        <w:top w:w="0" w:type="dxa"/>
        <w:right w:w="0" w:type="dxa"/>
        <w:bottom w:w="0" w:type="dxa"/>
      </w:tblCellMar>
    </w:tblPr>
  </w:style>
  <w:style w:type="table" w:styleId="1014" w:customStyle="1">
    <w:name w:val="List Table 7 Colorful - Accent 6"/>
    <w:uiPriority w:val="99"/>
    <w:qFormat/>
    <w:rPr>
      <w:sz w:val="20"/>
      <w:szCs w:val="20"/>
    </w:rPr>
    <w:tblPr>
      <w:tblCellMar>
        <w:left w:w="0" w:type="dxa"/>
        <w:top w:w="0" w:type="dxa"/>
        <w:right w:w="0" w:type="dxa"/>
        <w:bottom w:w="0" w:type="dxa"/>
      </w:tblCellMar>
    </w:tblPr>
  </w:style>
  <w:style w:type="table" w:styleId="1015" w:customStyle="1">
    <w:name w:val="Lined - Accent"/>
    <w:uiPriority w:val="99"/>
    <w:qFormat/>
    <w:rPr>
      <w:color w:val="404040"/>
      <w:sz w:val="20"/>
      <w:szCs w:val="20"/>
    </w:rPr>
    <w:tblPr>
      <w:tblCellMar>
        <w:left w:w="0" w:type="dxa"/>
        <w:top w:w="0" w:type="dxa"/>
        <w:right w:w="0" w:type="dxa"/>
        <w:bottom w:w="0" w:type="dxa"/>
      </w:tblCellMar>
    </w:tblPr>
  </w:style>
  <w:style w:type="table" w:styleId="1016" w:customStyle="1">
    <w:name w:val="Lined - Accent 1"/>
    <w:uiPriority w:val="99"/>
    <w:qFormat/>
    <w:rPr>
      <w:color w:val="404040"/>
      <w:sz w:val="20"/>
      <w:szCs w:val="20"/>
    </w:rPr>
    <w:tblPr>
      <w:tblCellMar>
        <w:left w:w="0" w:type="dxa"/>
        <w:top w:w="0" w:type="dxa"/>
        <w:right w:w="0" w:type="dxa"/>
        <w:bottom w:w="0" w:type="dxa"/>
      </w:tblCellMar>
    </w:tblPr>
  </w:style>
  <w:style w:type="table" w:styleId="1017" w:customStyle="1">
    <w:name w:val="Lined - Accent 2"/>
    <w:uiPriority w:val="99"/>
    <w:qFormat/>
    <w:rPr>
      <w:color w:val="404040"/>
      <w:sz w:val="20"/>
      <w:szCs w:val="20"/>
    </w:rPr>
    <w:tblPr>
      <w:tblCellMar>
        <w:left w:w="0" w:type="dxa"/>
        <w:top w:w="0" w:type="dxa"/>
        <w:right w:w="0" w:type="dxa"/>
        <w:bottom w:w="0" w:type="dxa"/>
      </w:tblCellMar>
    </w:tblPr>
  </w:style>
  <w:style w:type="table" w:styleId="1018" w:customStyle="1">
    <w:name w:val="Lined - Accent 3"/>
    <w:uiPriority w:val="99"/>
    <w:qFormat/>
    <w:rPr>
      <w:color w:val="404040"/>
      <w:sz w:val="20"/>
      <w:szCs w:val="20"/>
    </w:rPr>
    <w:tblPr>
      <w:tblCellMar>
        <w:left w:w="0" w:type="dxa"/>
        <w:top w:w="0" w:type="dxa"/>
        <w:right w:w="0" w:type="dxa"/>
        <w:bottom w:w="0" w:type="dxa"/>
      </w:tblCellMar>
    </w:tblPr>
  </w:style>
  <w:style w:type="table" w:styleId="1019" w:customStyle="1">
    <w:name w:val="Lined - Accent 4"/>
    <w:uiPriority w:val="99"/>
    <w:qFormat/>
    <w:rPr>
      <w:color w:val="404040"/>
      <w:sz w:val="20"/>
      <w:szCs w:val="20"/>
    </w:rPr>
    <w:tblPr>
      <w:tblCellMar>
        <w:left w:w="0" w:type="dxa"/>
        <w:top w:w="0" w:type="dxa"/>
        <w:right w:w="0" w:type="dxa"/>
        <w:bottom w:w="0" w:type="dxa"/>
      </w:tblCellMar>
    </w:tblPr>
  </w:style>
  <w:style w:type="table" w:styleId="1020" w:customStyle="1">
    <w:name w:val="Lined - Accent 5"/>
    <w:uiPriority w:val="99"/>
    <w:qFormat/>
    <w:rPr>
      <w:color w:val="404040"/>
      <w:sz w:val="20"/>
      <w:szCs w:val="20"/>
    </w:rPr>
    <w:tblPr>
      <w:tblCellMar>
        <w:left w:w="0" w:type="dxa"/>
        <w:top w:w="0" w:type="dxa"/>
        <w:right w:w="0" w:type="dxa"/>
        <w:bottom w:w="0" w:type="dxa"/>
      </w:tblCellMar>
    </w:tblPr>
  </w:style>
  <w:style w:type="table" w:styleId="1021" w:customStyle="1">
    <w:name w:val="Lined - Accent 6"/>
    <w:uiPriority w:val="99"/>
    <w:qFormat/>
    <w:rPr>
      <w:color w:val="404040"/>
      <w:sz w:val="20"/>
      <w:szCs w:val="20"/>
    </w:rPr>
    <w:tblPr>
      <w:tblCellMar>
        <w:left w:w="0" w:type="dxa"/>
        <w:top w:w="0" w:type="dxa"/>
        <w:right w:w="0" w:type="dxa"/>
        <w:bottom w:w="0" w:type="dxa"/>
      </w:tblCellMar>
    </w:tblPr>
  </w:style>
  <w:style w:type="table" w:styleId="1022" w:customStyle="1">
    <w:name w:val="Bordered &amp; Lined - Accent"/>
    <w:uiPriority w:val="99"/>
    <w:qFormat/>
    <w:rPr>
      <w:color w:val="404040"/>
      <w:sz w:val="20"/>
      <w:szCs w:val="20"/>
    </w:rPr>
    <w:tblPr>
      <w:tblCellMar>
        <w:left w:w="0" w:type="dxa"/>
        <w:top w:w="0" w:type="dxa"/>
        <w:right w:w="0" w:type="dxa"/>
        <w:bottom w:w="0" w:type="dxa"/>
      </w:tblCellMar>
    </w:tblPr>
  </w:style>
  <w:style w:type="table" w:styleId="1023" w:customStyle="1">
    <w:name w:val="Bordered &amp; Lined - Accent 1"/>
    <w:uiPriority w:val="99"/>
    <w:qFormat/>
    <w:rPr>
      <w:color w:val="404040"/>
      <w:sz w:val="20"/>
      <w:szCs w:val="20"/>
    </w:rPr>
    <w:tblPr>
      <w:tblCellMar>
        <w:left w:w="0" w:type="dxa"/>
        <w:top w:w="0" w:type="dxa"/>
        <w:right w:w="0" w:type="dxa"/>
        <w:bottom w:w="0" w:type="dxa"/>
      </w:tblCellMar>
    </w:tblPr>
  </w:style>
  <w:style w:type="table" w:styleId="1024" w:customStyle="1">
    <w:name w:val="Bordered &amp; Lined - Accent 2"/>
    <w:uiPriority w:val="99"/>
    <w:qFormat/>
    <w:rPr>
      <w:color w:val="404040"/>
      <w:sz w:val="20"/>
      <w:szCs w:val="20"/>
    </w:rPr>
    <w:tblPr>
      <w:tblCellMar>
        <w:left w:w="0" w:type="dxa"/>
        <w:top w:w="0" w:type="dxa"/>
        <w:right w:w="0" w:type="dxa"/>
        <w:bottom w:w="0" w:type="dxa"/>
      </w:tblCellMar>
    </w:tblPr>
  </w:style>
  <w:style w:type="table" w:styleId="1025" w:customStyle="1">
    <w:name w:val="Bordered &amp; Lined - Accent 3"/>
    <w:uiPriority w:val="99"/>
    <w:qFormat/>
    <w:rPr>
      <w:color w:val="404040"/>
      <w:sz w:val="20"/>
      <w:szCs w:val="20"/>
    </w:rPr>
    <w:tblPr>
      <w:tblCellMar>
        <w:left w:w="0" w:type="dxa"/>
        <w:top w:w="0" w:type="dxa"/>
        <w:right w:w="0" w:type="dxa"/>
        <w:bottom w:w="0" w:type="dxa"/>
      </w:tblCellMar>
    </w:tblPr>
  </w:style>
  <w:style w:type="table" w:styleId="1026" w:customStyle="1">
    <w:name w:val="Bordered &amp; Lined - Accent 4"/>
    <w:uiPriority w:val="99"/>
    <w:qFormat/>
    <w:rPr>
      <w:color w:val="404040"/>
      <w:sz w:val="20"/>
      <w:szCs w:val="20"/>
    </w:rPr>
    <w:tblPr>
      <w:tblCellMar>
        <w:left w:w="0" w:type="dxa"/>
        <w:top w:w="0" w:type="dxa"/>
        <w:right w:w="0" w:type="dxa"/>
        <w:bottom w:w="0" w:type="dxa"/>
      </w:tblCellMar>
    </w:tblPr>
  </w:style>
  <w:style w:type="table" w:styleId="1027" w:customStyle="1">
    <w:name w:val="Bordered &amp; Lined - Accent 5"/>
    <w:uiPriority w:val="99"/>
    <w:qFormat/>
    <w:rPr>
      <w:color w:val="404040"/>
      <w:sz w:val="20"/>
      <w:szCs w:val="20"/>
    </w:rPr>
    <w:tblPr>
      <w:tblCellMar>
        <w:left w:w="0" w:type="dxa"/>
        <w:top w:w="0" w:type="dxa"/>
        <w:right w:w="0" w:type="dxa"/>
        <w:bottom w:w="0" w:type="dxa"/>
      </w:tblCellMar>
    </w:tblPr>
  </w:style>
  <w:style w:type="table" w:styleId="1028" w:customStyle="1">
    <w:name w:val="Bordered &amp; Lined - Accent 6"/>
    <w:uiPriority w:val="99"/>
    <w:qFormat/>
    <w:rPr>
      <w:color w:val="404040"/>
      <w:sz w:val="20"/>
      <w:szCs w:val="20"/>
    </w:rPr>
    <w:tblPr>
      <w:tblCellMar>
        <w:left w:w="0" w:type="dxa"/>
        <w:top w:w="0" w:type="dxa"/>
        <w:right w:w="0" w:type="dxa"/>
        <w:bottom w:w="0" w:type="dxa"/>
      </w:tblCellMar>
    </w:tblPr>
  </w:style>
  <w:style w:type="table" w:styleId="1029" w:customStyle="1">
    <w:name w:val="Bordered"/>
    <w:uiPriority w:val="99"/>
    <w:qFormat/>
    <w:rPr>
      <w:sz w:val="20"/>
      <w:szCs w:val="20"/>
    </w:rPr>
    <w:tblPr>
      <w:tblCellMar>
        <w:left w:w="0" w:type="dxa"/>
        <w:top w:w="0" w:type="dxa"/>
        <w:right w:w="0" w:type="dxa"/>
        <w:bottom w:w="0" w:type="dxa"/>
      </w:tblCellMar>
    </w:tblPr>
  </w:style>
  <w:style w:type="table" w:styleId="1030" w:customStyle="1">
    <w:name w:val="Bordered - Accent 1"/>
    <w:uiPriority w:val="99"/>
    <w:qFormat/>
    <w:rPr>
      <w:sz w:val="20"/>
      <w:szCs w:val="20"/>
    </w:rPr>
    <w:tblPr>
      <w:tblCellMar>
        <w:left w:w="0" w:type="dxa"/>
        <w:top w:w="0" w:type="dxa"/>
        <w:right w:w="0" w:type="dxa"/>
        <w:bottom w:w="0" w:type="dxa"/>
      </w:tblCellMar>
    </w:tblPr>
  </w:style>
  <w:style w:type="table" w:styleId="1031" w:customStyle="1">
    <w:name w:val="Bordered - Accent 2"/>
    <w:uiPriority w:val="99"/>
    <w:qFormat/>
    <w:rPr>
      <w:sz w:val="20"/>
      <w:szCs w:val="20"/>
    </w:rPr>
    <w:tblPr>
      <w:tblCellMar>
        <w:left w:w="0" w:type="dxa"/>
        <w:top w:w="0" w:type="dxa"/>
        <w:right w:w="0" w:type="dxa"/>
        <w:bottom w:w="0" w:type="dxa"/>
      </w:tblCellMar>
    </w:tblPr>
  </w:style>
  <w:style w:type="table" w:styleId="1032" w:customStyle="1">
    <w:name w:val="Bordered - Accent 3"/>
    <w:uiPriority w:val="99"/>
    <w:qFormat/>
    <w:rPr>
      <w:sz w:val="20"/>
      <w:szCs w:val="20"/>
    </w:rPr>
    <w:tblPr>
      <w:tblCellMar>
        <w:left w:w="0" w:type="dxa"/>
        <w:top w:w="0" w:type="dxa"/>
        <w:right w:w="0" w:type="dxa"/>
        <w:bottom w:w="0" w:type="dxa"/>
      </w:tblCellMar>
    </w:tblPr>
  </w:style>
  <w:style w:type="table" w:styleId="1033" w:customStyle="1">
    <w:name w:val="Bordered - Accent 4"/>
    <w:uiPriority w:val="99"/>
    <w:qFormat/>
    <w:rPr>
      <w:sz w:val="20"/>
      <w:szCs w:val="20"/>
    </w:rPr>
    <w:tblPr>
      <w:tblCellMar>
        <w:left w:w="0" w:type="dxa"/>
        <w:top w:w="0" w:type="dxa"/>
        <w:right w:w="0" w:type="dxa"/>
        <w:bottom w:w="0" w:type="dxa"/>
      </w:tblCellMar>
    </w:tblPr>
  </w:style>
  <w:style w:type="table" w:styleId="1034" w:customStyle="1">
    <w:name w:val="Bordered - Accent 5"/>
    <w:uiPriority w:val="99"/>
    <w:qFormat/>
    <w:rPr>
      <w:sz w:val="20"/>
      <w:szCs w:val="20"/>
    </w:rPr>
    <w:tblPr>
      <w:tblCellMar>
        <w:left w:w="0" w:type="dxa"/>
        <w:top w:w="0" w:type="dxa"/>
        <w:right w:w="0" w:type="dxa"/>
        <w:bottom w:w="0" w:type="dxa"/>
      </w:tblCellMar>
    </w:tblPr>
  </w:style>
  <w:style w:type="table" w:styleId="1035" w:customStyle="1">
    <w:name w:val="Bordered - Accent 6"/>
    <w:uiPriority w:val="99"/>
    <w:qFormat/>
    <w:rPr>
      <w:sz w:val="20"/>
      <w:szCs w:val="20"/>
    </w:rPr>
    <w:tblPr>
      <w:tblCellMar>
        <w:left w:w="0" w:type="dxa"/>
        <w:top w:w="0" w:type="dxa"/>
        <w:right w:w="0" w:type="dxa"/>
        <w:bottom w:w="0" w:type="dxa"/>
      </w:tblCellMar>
    </w:tblPr>
  </w:style>
  <w:style w:type="paragraph" w:styleId="1036" w:customStyle="1">
    <w:name w:val="TOC Heading1"/>
    <w:uiPriority w:val="99"/>
    <w:qFormat/>
    <w:rPr>
      <w:rFonts w:hint="default" w:ascii="Times New Roman" w:hAnsi="Times New Roman" w:eastAsia="宋体" w:cs="Times New Roman"/>
      <w:sz w:val="20"/>
      <w:szCs w:val="20"/>
      <w:lang w:val="en-US" w:eastAsia="zh-CN" w:bidi="ar-SA"/>
    </w:rPr>
  </w:style>
  <w:style w:type="paragraph" w:styleId="1037" w:customStyle="1">
    <w:name w:val="标题 11"/>
    <w:basedOn w:val="808"/>
    <w:link w:val="1038"/>
    <w:uiPriority w:val="99"/>
    <w:qFormat/>
    <w:pPr>
      <w:keepLines/>
      <w:keepNext/>
      <w:spacing w:before="340" w:after="330" w:line="578" w:lineRule="auto"/>
      <w:outlineLvl w:val="0"/>
    </w:pPr>
    <w:rPr>
      <w:rFonts w:ascii="Calibri" w:hAnsi="Calibri"/>
      <w:b/>
      <w:sz w:val="44"/>
      <w:szCs w:val="20"/>
    </w:rPr>
  </w:style>
  <w:style w:type="character" w:styleId="1038" w:customStyle="1">
    <w:name w:val="标题 1 Char"/>
    <w:link w:val="1037"/>
    <w:uiPriority w:val="99"/>
    <w:qFormat/>
    <w:rPr>
      <w:rFonts w:ascii="Calibri" w:hAnsi="Calibri" w:eastAsia="宋体"/>
      <w:b/>
      <w:sz w:val="44"/>
    </w:rPr>
  </w:style>
  <w:style w:type="paragraph" w:styleId="1039" w:customStyle="1">
    <w:name w:val="标题 21"/>
    <w:basedOn w:val="808"/>
    <w:next w:val="808"/>
    <w:link w:val="1040"/>
    <w:uiPriority w:val="99"/>
    <w:qFormat/>
    <w:pPr>
      <w:keepLines/>
      <w:keepNext/>
      <w:spacing w:before="260" w:after="260" w:line="416" w:lineRule="auto"/>
      <w:outlineLvl w:val="1"/>
    </w:pPr>
    <w:rPr>
      <w:rFonts w:ascii="Cambria" w:hAnsi="Cambria"/>
      <w:b/>
      <w:sz w:val="32"/>
      <w:szCs w:val="20"/>
    </w:rPr>
  </w:style>
  <w:style w:type="character" w:styleId="1040" w:customStyle="1">
    <w:name w:val="标题 2 Char"/>
    <w:link w:val="1039"/>
    <w:uiPriority w:val="99"/>
    <w:semiHidden/>
    <w:qFormat/>
    <w:rPr>
      <w:rFonts w:ascii="Cambria" w:hAnsi="Cambria" w:eastAsia="宋体"/>
      <w:b/>
      <w:sz w:val="32"/>
    </w:rPr>
  </w:style>
  <w:style w:type="paragraph" w:styleId="1041" w:customStyle="1">
    <w:name w:val="标题 311"/>
    <w:basedOn w:val="808"/>
    <w:next w:val="808"/>
    <w:link w:val="1042"/>
    <w:uiPriority w:val="99"/>
    <w:qFormat/>
    <w:pPr>
      <w:keepLines/>
      <w:keepNext/>
      <w:spacing w:before="260" w:after="260" w:line="416" w:lineRule="auto"/>
      <w:outlineLvl w:val="2"/>
    </w:pPr>
    <w:rPr>
      <w:rFonts w:ascii="Calibri" w:hAnsi="Calibri"/>
      <w:b/>
      <w:sz w:val="32"/>
      <w:szCs w:val="20"/>
    </w:rPr>
  </w:style>
  <w:style w:type="character" w:styleId="1042" w:customStyle="1">
    <w:name w:val="标题 3 Char"/>
    <w:link w:val="1041"/>
    <w:uiPriority w:val="99"/>
    <w:qFormat/>
    <w:rPr>
      <w:rFonts w:ascii="Calibri" w:hAnsi="Calibri" w:eastAsia="宋体"/>
      <w:b/>
      <w:sz w:val="32"/>
    </w:rPr>
  </w:style>
  <w:style w:type="paragraph" w:styleId="1043" w:customStyle="1">
    <w:name w:val="标题 41"/>
    <w:basedOn w:val="808"/>
    <w:next w:val="808"/>
    <w:uiPriority w:val="99"/>
    <w:qFormat/>
    <w:pPr>
      <w:keepLines/>
      <w:keepNext/>
      <w:spacing w:before="280" w:after="290" w:line="376" w:lineRule="auto"/>
      <w:outlineLvl w:val="3"/>
    </w:pPr>
    <w:rPr>
      <w:rFonts w:ascii="Arial" w:hAnsi="Arial" w:eastAsia="黑体"/>
      <w:b/>
      <w:bCs/>
      <w:sz w:val="28"/>
      <w:szCs w:val="28"/>
    </w:rPr>
  </w:style>
  <w:style w:type="character" w:styleId="1044" w:customStyle="1">
    <w:name w:val="默认段落字体1"/>
    <w:uiPriority w:val="99"/>
    <w:qFormat/>
  </w:style>
  <w:style w:type="table" w:styleId="1045" w:customStyle="1">
    <w:name w:val="普通表格1"/>
    <w:uiPriority w:val="99"/>
    <w:qFormat/>
    <w:rPr>
      <w:sz w:val="20"/>
      <w:szCs w:val="20"/>
    </w:rPr>
    <w:tblPr>
      <w:tblCellMar>
        <w:left w:w="0" w:type="dxa"/>
        <w:top w:w="0" w:type="dxa"/>
        <w:right w:w="0" w:type="dxa"/>
        <w:bottom w:w="0" w:type="dxa"/>
      </w:tblCellMar>
    </w:tblPr>
  </w:style>
  <w:style w:type="paragraph" w:styleId="1046" w:customStyle="1">
    <w:name w:val="正文缩进11"/>
    <w:basedOn w:val="808"/>
    <w:uiPriority w:val="99"/>
    <w:qFormat/>
    <w:pPr>
      <w:ind w:firstLine="420"/>
    </w:pPr>
    <w:rPr>
      <w:rFonts w:ascii="Calibri" w:hAnsi="Calibri"/>
    </w:rPr>
  </w:style>
  <w:style w:type="paragraph" w:styleId="1047" w:customStyle="1">
    <w:name w:val="批注文字1"/>
    <w:basedOn w:val="808"/>
    <w:link w:val="1048"/>
    <w:uiPriority w:val="99"/>
    <w:qFormat/>
    <w:pPr>
      <w:jc w:val="left"/>
    </w:pPr>
    <w:rPr>
      <w:sz w:val="22"/>
      <w:szCs w:val="20"/>
    </w:rPr>
  </w:style>
  <w:style w:type="character" w:styleId="1048" w:customStyle="1">
    <w:name w:val="批注文字 Char"/>
    <w:link w:val="1047"/>
    <w:uiPriority w:val="99"/>
    <w:semiHidden/>
    <w:qFormat/>
    <w:rPr>
      <w:sz w:val="22"/>
    </w:rPr>
  </w:style>
  <w:style w:type="paragraph" w:styleId="1049" w:customStyle="1">
    <w:name w:val="正文首行缩进11"/>
    <w:basedOn w:val="901"/>
    <w:uiPriority w:val="99"/>
    <w:qFormat/>
    <w:pPr>
      <w:ind w:firstLine="420"/>
      <w:spacing w:after="120"/>
      <w:tabs>
        <w:tab w:val="left" w:pos="0" w:leader="none"/>
        <w:tab w:val="left" w:pos="993" w:leader="none"/>
        <w:tab w:val="left" w:pos="1134" w:leader="none"/>
      </w:tabs>
    </w:pPr>
    <w:rPr>
      <w:szCs w:val="22"/>
    </w:rPr>
  </w:style>
  <w:style w:type="character" w:styleId="1050" w:customStyle="1">
    <w:name w:val="正文文本 Char"/>
    <w:link w:val="901"/>
    <w:uiPriority w:val="99"/>
    <w:qFormat/>
    <w:rPr>
      <w:rFonts w:ascii="??_GB2312" w:hAnsi="Arial" w:eastAsia="Times New Roman"/>
      <w:sz w:val="28"/>
    </w:rPr>
  </w:style>
  <w:style w:type="paragraph" w:styleId="1051" w:customStyle="1">
    <w:name w:val="纯文本1"/>
    <w:basedOn w:val="808"/>
    <w:link w:val="1052"/>
    <w:uiPriority w:val="99"/>
    <w:qFormat/>
    <w:rPr>
      <w:rFonts w:ascii="宋体" w:hAnsi="Courier New"/>
      <w:szCs w:val="20"/>
    </w:rPr>
  </w:style>
  <w:style w:type="character" w:styleId="1052" w:customStyle="1">
    <w:name w:val="纯文本 Char"/>
    <w:link w:val="1051"/>
    <w:uiPriority w:val="99"/>
    <w:qFormat/>
    <w:rPr>
      <w:rFonts w:ascii="宋体" w:hAnsi="Courier New" w:eastAsia="宋体"/>
      <w:sz w:val="21"/>
    </w:rPr>
  </w:style>
  <w:style w:type="paragraph" w:styleId="1053" w:customStyle="1">
    <w:name w:val="批注框文本1"/>
    <w:basedOn w:val="808"/>
    <w:link w:val="1054"/>
    <w:uiPriority w:val="99"/>
    <w:qFormat/>
    <w:rPr>
      <w:sz w:val="18"/>
      <w:szCs w:val="20"/>
    </w:rPr>
  </w:style>
  <w:style w:type="character" w:styleId="1054" w:customStyle="1">
    <w:name w:val="批注框文本 Char"/>
    <w:link w:val="1053"/>
    <w:uiPriority w:val="99"/>
    <w:semiHidden/>
    <w:qFormat/>
    <w:rPr>
      <w:sz w:val="18"/>
    </w:rPr>
  </w:style>
  <w:style w:type="paragraph" w:styleId="1055" w:customStyle="1">
    <w:name w:val="页脚1"/>
    <w:basedOn w:val="808"/>
    <w:link w:val="1056"/>
    <w:uiPriority w:val="99"/>
    <w:qFormat/>
    <w:pPr>
      <w:jc w:val="left"/>
      <w:tabs>
        <w:tab w:val="center" w:pos="4153" w:leader="none"/>
        <w:tab w:val="right" w:pos="8306" w:leader="none"/>
      </w:tabs>
    </w:pPr>
    <w:rPr>
      <w:rFonts w:ascii="Calibri" w:hAnsi="Calibri"/>
      <w:sz w:val="18"/>
      <w:szCs w:val="20"/>
    </w:rPr>
  </w:style>
  <w:style w:type="character" w:styleId="1056" w:customStyle="1">
    <w:name w:val="页脚 Char"/>
    <w:link w:val="1055"/>
    <w:uiPriority w:val="99"/>
    <w:qFormat/>
    <w:rPr>
      <w:rFonts w:ascii="Calibri" w:hAnsi="Calibri" w:eastAsia="宋体"/>
      <w:sz w:val="18"/>
    </w:rPr>
  </w:style>
  <w:style w:type="paragraph" w:styleId="1057" w:customStyle="1">
    <w:name w:val="页眉1"/>
    <w:basedOn w:val="808"/>
    <w:link w:val="1058"/>
    <w:uiPriority w:val="99"/>
    <w:qFormat/>
    <w:pPr>
      <w:jc w:val="center"/>
      <w:tabs>
        <w:tab w:val="center" w:pos="4153" w:leader="none"/>
        <w:tab w:val="right" w:pos="8306" w:leader="none"/>
      </w:tabs>
      <w:pBdr>
        <w:bottom w:val="single" w:color="000000" w:sz="6" w:space="1"/>
      </w:pBdr>
    </w:pPr>
    <w:rPr>
      <w:rFonts w:ascii="Calibri" w:hAnsi="Calibri"/>
      <w:sz w:val="18"/>
      <w:szCs w:val="20"/>
    </w:rPr>
  </w:style>
  <w:style w:type="character" w:styleId="1058" w:customStyle="1">
    <w:name w:val="页眉 Char"/>
    <w:link w:val="1057"/>
    <w:uiPriority w:val="99"/>
    <w:qFormat/>
    <w:rPr>
      <w:rFonts w:ascii="Calibri" w:hAnsi="Calibri" w:eastAsia="宋体"/>
      <w:sz w:val="18"/>
    </w:rPr>
  </w:style>
  <w:style w:type="paragraph" w:styleId="1059" w:customStyle="1">
    <w:name w:val="目录 11"/>
    <w:basedOn w:val="808"/>
    <w:next w:val="808"/>
    <w:uiPriority w:val="99"/>
    <w:qFormat/>
    <w:rPr>
      <w:rFonts w:ascii="Calibri" w:hAnsi="Calibri"/>
    </w:rPr>
  </w:style>
  <w:style w:type="paragraph" w:styleId="1060" w:customStyle="1">
    <w:name w:val="HTML 预设格式1"/>
    <w:basedOn w:val="8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61" w:customStyle="1">
    <w:name w:val="普通(网站)1"/>
    <w:basedOn w:val="808"/>
    <w:uiPriority w:val="99"/>
    <w:qFormat/>
    <w:pPr>
      <w:jc w:val="left"/>
      <w:spacing w:before="100" w:beforeAutospacing="1" w:after="100" w:afterAutospacing="1"/>
      <w:widowControl/>
    </w:pPr>
    <w:rPr>
      <w:rFonts w:ascii="宋体" w:hAnsi="宋体" w:cs="宋体"/>
      <w:sz w:val="24"/>
      <w:szCs w:val="24"/>
    </w:rPr>
  </w:style>
  <w:style w:type="paragraph" w:styleId="1062" w:customStyle="1">
    <w:name w:val="批注主题1"/>
    <w:basedOn w:val="1047"/>
    <w:next w:val="1047"/>
    <w:link w:val="1063"/>
    <w:uiPriority w:val="99"/>
    <w:qFormat/>
    <w:rPr>
      <w:b/>
    </w:rPr>
  </w:style>
  <w:style w:type="character" w:styleId="1063" w:customStyle="1">
    <w:name w:val="批注主题 Char"/>
    <w:link w:val="1062"/>
    <w:uiPriority w:val="99"/>
    <w:semiHidden/>
    <w:qFormat/>
    <w:rPr>
      <w:b/>
      <w:sz w:val="22"/>
    </w:rPr>
  </w:style>
  <w:style w:type="character" w:styleId="1064" w:customStyle="1">
    <w:name w:val="要点1"/>
    <w:uiPriority w:val="99"/>
    <w:qFormat/>
    <w:rPr>
      <w:b/>
    </w:rPr>
  </w:style>
  <w:style w:type="character" w:styleId="1065" w:customStyle="1">
    <w:name w:val="批注引用1"/>
    <w:uiPriority w:val="99"/>
    <w:qFormat/>
    <w:rPr>
      <w:sz w:val="21"/>
    </w:rPr>
  </w:style>
  <w:style w:type="paragraph" w:styleId="1066" w:customStyle="1">
    <w:name w:val="正文缩进1"/>
    <w:basedOn w:val="808"/>
    <w:uiPriority w:val="99"/>
    <w:qFormat/>
    <w:pPr>
      <w:ind w:firstLine="420"/>
    </w:pPr>
  </w:style>
  <w:style w:type="paragraph" w:styleId="1067" w:customStyle="1">
    <w:name w:val="Char"/>
    <w:basedOn w:val="808"/>
    <w:uiPriority w:val="99"/>
    <w:qFormat/>
    <w:pPr>
      <w:ind w:firstLine="200"/>
      <w:tabs>
        <w:tab w:val="left" w:pos="360" w:leader="none"/>
      </w:tabs>
    </w:pPr>
    <w:rPr>
      <w:sz w:val="28"/>
      <w:szCs w:val="30"/>
    </w:rPr>
  </w:style>
  <w:style w:type="paragraph" w:styleId="1068" w:customStyle="1">
    <w:name w:val="普通正文"/>
    <w:basedOn w:val="808"/>
    <w:uiPriority w:val="99"/>
    <w:qFormat/>
    <w:pPr>
      <w:ind w:firstLine="480"/>
      <w:jc w:val="left"/>
      <w:spacing w:before="120" w:after="120" w:line="360" w:lineRule="auto"/>
    </w:pPr>
    <w:rPr>
      <w:rFonts w:ascii="Arial" w:hAnsi="Arial"/>
      <w:sz w:val="24"/>
      <w:szCs w:val="24"/>
    </w:rPr>
  </w:style>
  <w:style w:type="paragraph" w:styleId="1069" w:customStyle="1">
    <w:name w:val="列出段落"/>
    <w:basedOn w:val="808"/>
    <w:uiPriority w:val="99"/>
    <w:qFormat/>
    <w:pPr>
      <w:ind w:firstLine="420"/>
    </w:pPr>
  </w:style>
  <w:style w:type="paragraph" w:styleId="1070" w:customStyle="1">
    <w:name w:val="正  文"/>
    <w:basedOn w:val="808"/>
    <w:uiPriority w:val="99"/>
    <w:qFormat/>
    <w:pPr>
      <w:ind w:firstLine="200"/>
      <w:spacing w:line="360" w:lineRule="auto"/>
    </w:pPr>
  </w:style>
  <w:style w:type="paragraph" w:styleId="1071" w:customStyle="1">
    <w:name w:val="正文_3"/>
    <w:uiPriority w:val="99"/>
    <w:qFormat/>
    <w:pPr>
      <w:jc w:val="both"/>
      <w:widowControl w:val="off"/>
    </w:pPr>
    <w:rPr>
      <w:rFonts w:hint="default" w:ascii="Times New Roman" w:hAnsi="Times New Roman" w:eastAsia="宋体" w:cs="Times New Roman"/>
      <w:sz w:val="21"/>
      <w:szCs w:val="20"/>
      <w:lang w:val="en-US" w:eastAsia="zh-CN" w:bidi="ar-SA"/>
    </w:rPr>
  </w:style>
  <w:style w:type="table" w:styleId="1072" w:customStyle="1">
    <w:name w:val="网格型21"/>
    <w:basedOn w:val="1045"/>
    <w:uiPriority w:val="99"/>
    <w:qFormat/>
    <w:tblPr>
      <w:tblCellMar>
        <w:left w:w="0" w:type="dxa"/>
        <w:top w:w="0" w:type="dxa"/>
        <w:right w:w="0" w:type="dxa"/>
        <w:bottom w:w="0" w:type="dxa"/>
      </w:tblCellMar>
    </w:tblPr>
  </w:style>
  <w:style w:type="table" w:styleId="1073" w:customStyle="1">
    <w:name w:val="网格型2"/>
    <w:basedOn w:val="1045"/>
    <w:uiPriority w:val="99"/>
    <w:qFormat/>
    <w:tblPr>
      <w:tblCellMar>
        <w:left w:w="0" w:type="dxa"/>
        <w:top w:w="0" w:type="dxa"/>
        <w:right w:w="0" w:type="dxa"/>
        <w:bottom w:w="0" w:type="dxa"/>
      </w:tblCellMar>
    </w:tblPr>
  </w:style>
  <w:style w:type="paragraph" w:styleId="1074" w:customStyle="1">
    <w:name w:val="正文首行缩进1"/>
    <w:basedOn w:val="808"/>
    <w:uiPriority w:val="99"/>
    <w:qFormat/>
    <w:pPr>
      <w:spacing w:line="312" w:lineRule="auto"/>
    </w:pPr>
    <w:rPr>
      <w:rFonts w:ascii="Arial" w:hAnsi="Arial" w:eastAsia="幼圆"/>
      <w:sz w:val="28"/>
    </w:rPr>
  </w:style>
  <w:style w:type="paragraph" w:styleId="1075" w:customStyle="1">
    <w:name w:val="标题 31"/>
    <w:basedOn w:val="808"/>
    <w:next w:val="808"/>
    <w:uiPriority w:val="99"/>
    <w:qFormat/>
    <w:pPr>
      <w:keepLines/>
      <w:keepNext/>
      <w:spacing w:before="260" w:after="260" w:line="416" w:lineRule="auto"/>
      <w:outlineLvl w:val="2"/>
    </w:pPr>
    <w:rPr>
      <w:b/>
      <w:bCs/>
      <w:sz w:val="32"/>
      <w:szCs w:val="32"/>
    </w:rPr>
  </w:style>
  <w:style w:type="paragraph" w:styleId="1076" w:customStyle="1">
    <w:name w:val="首行缩进"/>
    <w:basedOn w:val="808"/>
    <w:uiPriority w:val="99"/>
    <w:qFormat/>
    <w:pPr>
      <w:ind w:firstLine="480"/>
    </w:pPr>
    <w:rPr>
      <w:lang w:val="zh-CN"/>
    </w:rPr>
  </w:style>
  <w:style w:type="paragraph" w:styleId="1077" w:customStyle="1">
    <w:name w:val="样式8"/>
    <w:basedOn w:val="813"/>
    <w:uiPriority w:val="99"/>
    <w:qFormat/>
    <w:pPr>
      <w:spacing w:before="0" w:after="0" w:line="360" w:lineRule="auto"/>
    </w:pPr>
    <w:rPr>
      <w:rFonts w:ascii="仿宋" w:hAnsi="仿宋" w:eastAsia="仿宋"/>
      <w:color w:val="c0504d"/>
    </w:rPr>
  </w:style>
  <w:style w:type="table" w:styleId="1078" w:customStyle="1">
    <w:name w:val="Table Normal1"/>
    <w:uiPriority w:val="99"/>
    <w:semiHidden/>
    <w:qFormat/>
    <w:rPr>
      <w:sz w:val="20"/>
      <w:szCs w:val="20"/>
    </w:rPr>
    <w:tblPr>
      <w:tblCellMar>
        <w:left w:w="0" w:type="dxa"/>
        <w:top w:w="0" w:type="dxa"/>
        <w:right w:w="0" w:type="dxa"/>
        <w:bottom w:w="0" w:type="dxa"/>
      </w:tblCellMar>
    </w:tblPr>
  </w:style>
  <w:style w:type="paragraph" w:styleId="1079" w:customStyle="1">
    <w:name w:val="Table Text"/>
    <w:basedOn w:val="808"/>
    <w:uiPriority w:val="99"/>
    <w:semiHidden/>
    <w:qFormat/>
    <w:rPr>
      <w:rFonts w:ascii="仿宋" w:hAnsi="仿宋" w:eastAsia="仿宋" w:cs="仿宋"/>
      <w:sz w:val="18"/>
      <w:szCs w:val="18"/>
      <w:lang w:eastAsia="en-US"/>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Normal_Wordconv.dotm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圣</dc:creator>
  <cp:lastModifiedBy>郭静</cp:lastModifiedBy>
  <cp:revision>37</cp:revision>
  <dcterms:created xsi:type="dcterms:W3CDTF">2022-06-07T08:27:00Z</dcterms:created>
  <dcterms:modified xsi:type="dcterms:W3CDTF">2025-11-24T06:51:55Z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eyJoZGlkIjoiNjVlYjJhODI3Nzk5OTU0OTZiOWVmZTI1NGJlOTEwZjEiLCJ1c2VySWQiOiI3OTg5NjIzODYifQ==</vt:lpwstr>
  </property>
  <property fmtid="{D5CDD505-2E9C-101B-9397-08002B2CF9AE}" pid="3" name="KSOProductBuildVer">
    <vt:lpwstr>2052-12.1.0.23542</vt:lpwstr>
  </property>
  <property fmtid="{D5CDD505-2E9C-101B-9397-08002B2CF9AE}" pid="4" name="ICV">
    <vt:lpwstr>A1B77D2AEC8147C69E13041F9BF4E1B1_13</vt:lpwstr>
  </property>
</Properties>
</file>